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55557" w14:textId="50680192" w:rsidR="00D144BE" w:rsidRDefault="009D4708" w:rsidP="0015187F">
      <w:pPr>
        <w:pStyle w:val="Heading1"/>
      </w:pPr>
      <w:r>
        <w:t>Potable Water</w:t>
      </w:r>
      <w:r w:rsidR="002F62FD">
        <w:t>:</w:t>
      </w:r>
      <w:r>
        <w:t xml:space="preserve"> </w:t>
      </w:r>
      <w:r w:rsidR="004B28CC">
        <w:br/>
      </w:r>
      <w:r>
        <w:t>prescriptive pathway</w:t>
      </w:r>
    </w:p>
    <w:p w14:paraId="44D7B05D" w14:textId="2790DD94" w:rsidR="009D4708" w:rsidRPr="00852F88" w:rsidRDefault="009D4708" w:rsidP="00BF39A6">
      <w:pPr>
        <w:pStyle w:val="Heading3"/>
        <w:rPr>
          <w:sz w:val="24"/>
          <w:szCs w:val="24"/>
        </w:rPr>
      </w:pPr>
      <w:r w:rsidRPr="00852F88">
        <w:rPr>
          <w:sz w:val="24"/>
          <w:szCs w:val="24"/>
        </w:rPr>
        <w:t>Credit 18B</w:t>
      </w:r>
    </w:p>
    <w:p w14:paraId="0DEF2B7D" w14:textId="771C8B27" w:rsidR="005C34D2" w:rsidRPr="00852F88" w:rsidRDefault="005C34D2">
      <w:pPr>
        <w:pStyle w:val="Heading3"/>
        <w:rPr>
          <w:sz w:val="24"/>
          <w:szCs w:val="24"/>
        </w:rPr>
      </w:pPr>
      <w:bookmarkStart w:id="0" w:name="h.d27jtfsfquok"/>
      <w:bookmarkEnd w:id="0"/>
      <w:r w:rsidRPr="00852F88">
        <w:rPr>
          <w:sz w:val="24"/>
          <w:szCs w:val="24"/>
        </w:rPr>
        <w:t>Design Review Submission</w:t>
      </w:r>
      <w:r w:rsidRPr="00852F88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768695798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7082256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934F9" w:rsidRPr="00852F88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852F88">
        <w:rPr>
          <w:sz w:val="24"/>
          <w:szCs w:val="24"/>
        </w:rPr>
        <w:tab/>
        <w:t>As Built Submission</w:t>
      </w:r>
      <w:r w:rsidRPr="00852F88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-91934835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0394022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934F9" w:rsidRPr="00852F88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852F88">
        <w:rPr>
          <w:sz w:val="24"/>
          <w:szCs w:val="24"/>
        </w:rPr>
        <w:t xml:space="preserve"> </w:t>
      </w:r>
    </w:p>
    <w:tbl>
      <w:tblPr>
        <w:tblStyle w:val="Style1"/>
        <w:tblW w:w="9180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936"/>
        <w:gridCol w:w="1134"/>
        <w:gridCol w:w="2693"/>
        <w:gridCol w:w="1417"/>
      </w:tblGrid>
      <w:tr w:rsidR="005C34D2" w:rsidRPr="00852F88" w14:paraId="5FDEEE4D" w14:textId="77777777" w:rsidTr="009C5461">
        <w:tc>
          <w:tcPr>
            <w:tcW w:w="3936" w:type="dxa"/>
          </w:tcPr>
          <w:p w14:paraId="2B6416E1" w14:textId="77777777" w:rsidR="005C34D2" w:rsidRPr="00852F88" w:rsidRDefault="005C34D2" w:rsidP="00935B2E">
            <w:pPr>
              <w:pStyle w:val="Heading3"/>
              <w:spacing w:before="120"/>
              <w:rPr>
                <w:sz w:val="24"/>
                <w:szCs w:val="24"/>
              </w:rPr>
            </w:pPr>
            <w:r w:rsidRPr="00852F88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134" w:type="dxa"/>
          </w:tcPr>
          <w:p w14:paraId="39CE7F9E" w14:textId="048B0BAE" w:rsidR="005C34D2" w:rsidRPr="00852F88" w:rsidRDefault="0068376F" w:rsidP="00935B2E">
            <w:pPr>
              <w:pStyle w:val="Heading3"/>
              <w:spacing w:before="120"/>
              <w:rPr>
                <w:sz w:val="24"/>
                <w:szCs w:val="24"/>
              </w:rPr>
            </w:pPr>
            <w:r w:rsidRPr="00852F88">
              <w:rPr>
                <w:sz w:val="24"/>
                <w:szCs w:val="24"/>
              </w:rPr>
              <w:t>5</w:t>
            </w:r>
            <w:r w:rsidR="00551D41" w:rsidRPr="00852F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4202ADFC" w14:textId="77777777" w:rsidR="005C34D2" w:rsidRPr="00852F88" w:rsidRDefault="005C34D2" w:rsidP="00935B2E">
            <w:pPr>
              <w:pStyle w:val="Heading3"/>
              <w:spacing w:before="120"/>
              <w:rPr>
                <w:sz w:val="24"/>
                <w:szCs w:val="24"/>
              </w:rPr>
            </w:pPr>
            <w:r w:rsidRPr="00852F88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7BD9715D" w14:textId="77777777" w:rsidR="005C34D2" w:rsidRPr="00852F88" w:rsidRDefault="0068376F" w:rsidP="00935B2E">
            <w:pPr>
              <w:pStyle w:val="Bluetext"/>
              <w:rPr>
                <w:sz w:val="24"/>
                <w:szCs w:val="24"/>
              </w:rPr>
            </w:pPr>
            <w:r w:rsidRPr="00852F88">
              <w:rPr>
                <w:sz w:val="24"/>
                <w:szCs w:val="24"/>
              </w:rPr>
              <w:t>[</w:t>
            </w:r>
            <w:r w:rsidR="005C34D2" w:rsidRPr="00852F88">
              <w:rPr>
                <w:sz w:val="24"/>
                <w:szCs w:val="24"/>
              </w:rPr>
              <w:t>#</w:t>
            </w:r>
            <w:r w:rsidRPr="00852F88">
              <w:rPr>
                <w:sz w:val="24"/>
                <w:szCs w:val="24"/>
              </w:rPr>
              <w:t>]</w:t>
            </w:r>
          </w:p>
        </w:tc>
      </w:tr>
    </w:tbl>
    <w:p w14:paraId="033EA12F" w14:textId="6D46CBDF" w:rsidR="00551D41" w:rsidRPr="00F32977" w:rsidRDefault="00551D41" w:rsidP="00551D41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CellMar>
          <w:left w:w="57" w:type="dxa"/>
          <w:right w:w="57" w:type="dxa"/>
        </w:tblCellMar>
        <w:tblLook w:val="00E0" w:firstRow="1" w:lastRow="1" w:firstColumn="1" w:lastColumn="0" w:noHBand="0" w:noVBand="0"/>
      </w:tblPr>
      <w:tblGrid>
        <w:gridCol w:w="850"/>
        <w:gridCol w:w="1781"/>
        <w:gridCol w:w="4379"/>
        <w:gridCol w:w="1082"/>
        <w:gridCol w:w="1049"/>
      </w:tblGrid>
      <w:tr w:rsidR="0026389D" w14:paraId="0B076029" w14:textId="77777777" w:rsidTr="00935B2E">
        <w:tc>
          <w:tcPr>
            <w:tcW w:w="465" w:type="pct"/>
            <w:vAlign w:val="center"/>
          </w:tcPr>
          <w:p w14:paraId="338DD6B1" w14:textId="77777777" w:rsidR="00017B56" w:rsidRPr="00017B56" w:rsidRDefault="00017B56" w:rsidP="00935B2E">
            <w:pPr>
              <w:spacing w:before="80" w:after="80"/>
              <w:jc w:val="center"/>
              <w:rPr>
                <w:rStyle w:val="StyleBold"/>
              </w:rPr>
            </w:pPr>
          </w:p>
        </w:tc>
        <w:tc>
          <w:tcPr>
            <w:tcW w:w="974" w:type="pct"/>
            <w:vAlign w:val="center"/>
          </w:tcPr>
          <w:p w14:paraId="63721021" w14:textId="5F578AA1" w:rsidR="00017B56" w:rsidRPr="00017B56" w:rsidRDefault="002F62FD" w:rsidP="00935B2E">
            <w:pPr>
              <w:spacing w:before="80" w:after="80"/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395" w:type="pct"/>
            <w:vAlign w:val="center"/>
          </w:tcPr>
          <w:p w14:paraId="29E1A070" w14:textId="3C6E2D09" w:rsidR="00017B56" w:rsidRPr="00017B56" w:rsidRDefault="00017B56" w:rsidP="00935B2E">
            <w:pPr>
              <w:spacing w:before="80" w:after="80"/>
              <w:ind w:left="204"/>
              <w:rPr>
                <w:rStyle w:val="StyleBold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592" w:type="pct"/>
            <w:vAlign w:val="center"/>
          </w:tcPr>
          <w:p w14:paraId="4FD4ADC5" w14:textId="77777777" w:rsidR="00017B56" w:rsidRPr="00017B56" w:rsidRDefault="00017B56" w:rsidP="00935B2E">
            <w:pPr>
              <w:spacing w:before="80" w:after="80"/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574" w:type="pct"/>
            <w:vAlign w:val="center"/>
          </w:tcPr>
          <w:p w14:paraId="2D1B4A8A" w14:textId="77777777" w:rsidR="00017B56" w:rsidRPr="00017B56" w:rsidRDefault="00017B56" w:rsidP="00935B2E">
            <w:pPr>
              <w:spacing w:before="80" w:after="80"/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14213F" w14:paraId="32ABC738" w14:textId="77777777" w:rsidTr="00935B2E">
        <w:tc>
          <w:tcPr>
            <w:tcW w:w="465" w:type="pct"/>
            <w:vMerge w:val="restart"/>
            <w:vAlign w:val="center"/>
          </w:tcPr>
          <w:p w14:paraId="3500B812" w14:textId="7B00FE48" w:rsidR="0014213F" w:rsidRPr="007B46D4" w:rsidRDefault="0014213F" w:rsidP="00935B2E">
            <w:pPr>
              <w:spacing w:before="80" w:after="80"/>
              <w:rPr>
                <w:b/>
              </w:rPr>
            </w:pPr>
            <w:r w:rsidRPr="007B46D4">
              <w:rPr>
                <w:b/>
              </w:rPr>
              <w:t>18B.1</w:t>
            </w:r>
          </w:p>
        </w:tc>
        <w:tc>
          <w:tcPr>
            <w:tcW w:w="974" w:type="pct"/>
            <w:vMerge w:val="restart"/>
            <w:vAlign w:val="center"/>
          </w:tcPr>
          <w:p w14:paraId="77A266B3" w14:textId="203219F5" w:rsidR="0014213F" w:rsidRPr="002F62FD" w:rsidRDefault="0014213F" w:rsidP="00935B2E">
            <w:pPr>
              <w:spacing w:before="80" w:after="80"/>
              <w:rPr>
                <w:b/>
              </w:rPr>
            </w:pPr>
            <w:r w:rsidRPr="00935B2E">
              <w:rPr>
                <w:b/>
              </w:rPr>
              <w:t>Sanitary Fixture Efficiency</w:t>
            </w:r>
          </w:p>
        </w:tc>
        <w:tc>
          <w:tcPr>
            <w:tcW w:w="2395" w:type="pct"/>
            <w:vMerge w:val="restart"/>
            <w:vAlign w:val="center"/>
          </w:tcPr>
          <w:p w14:paraId="7441A6B0" w14:textId="40B57406" w:rsidR="0014213F" w:rsidRDefault="0014213F" w:rsidP="00935B2E">
            <w:pPr>
              <w:spacing w:before="80" w:after="80"/>
              <w:ind w:left="142"/>
            </w:pPr>
            <w:r w:rsidRPr="007F3F77">
              <w:t>All fixtures are</w:t>
            </w:r>
            <w:r>
              <w:t xml:space="preserve"> water efficient.</w:t>
            </w:r>
          </w:p>
          <w:p w14:paraId="2C4ACAE7" w14:textId="778F1256" w:rsidR="0014213F" w:rsidRPr="007F3F77" w:rsidRDefault="0014213F" w:rsidP="00935B2E">
            <w:pPr>
              <w:spacing w:before="80" w:after="80"/>
              <w:ind w:left="142"/>
            </w:pPr>
            <w:r w:rsidRPr="005D2E49">
              <w:t xml:space="preserve">Where no </w:t>
            </w:r>
            <w:r>
              <w:t>fixtures</w:t>
            </w:r>
            <w:r w:rsidRPr="005D2E49">
              <w:t xml:space="preserve"> are installed, this criterion is</w:t>
            </w:r>
            <w:r>
              <w:t xml:space="preserve"> made</w:t>
            </w:r>
            <w:r w:rsidRPr="005D2E49">
              <w:t xml:space="preserve"> ‘Not Applicable’.</w:t>
            </w:r>
          </w:p>
        </w:tc>
        <w:tc>
          <w:tcPr>
            <w:tcW w:w="592" w:type="pct"/>
            <w:vAlign w:val="center"/>
          </w:tcPr>
          <w:p w14:paraId="4C56CCB8" w14:textId="69C29758" w:rsidR="0014213F" w:rsidRDefault="0014213F" w:rsidP="00935B2E">
            <w:pPr>
              <w:spacing w:before="80" w:after="80"/>
              <w:jc w:val="center"/>
            </w:pPr>
            <w:r>
              <w:t>1</w:t>
            </w:r>
          </w:p>
        </w:tc>
        <w:tc>
          <w:tcPr>
            <w:tcW w:w="574" w:type="pct"/>
            <w:vAlign w:val="center"/>
          </w:tcPr>
          <w:p w14:paraId="38F88FA7" w14:textId="7676E744" w:rsidR="0014213F" w:rsidRDefault="0014213F" w:rsidP="00935B2E">
            <w:pPr>
              <w:pStyle w:val="Bluetext"/>
              <w:spacing w:before="80" w:after="80"/>
              <w:jc w:val="center"/>
            </w:pPr>
            <w:r>
              <w:t>[#]</w:t>
            </w:r>
          </w:p>
        </w:tc>
      </w:tr>
      <w:tr w:rsidR="0014213F" w14:paraId="02C1AE36" w14:textId="77777777" w:rsidTr="00935B2E">
        <w:tc>
          <w:tcPr>
            <w:tcW w:w="465" w:type="pct"/>
            <w:vMerge/>
            <w:vAlign w:val="center"/>
          </w:tcPr>
          <w:p w14:paraId="1E22528E" w14:textId="77777777" w:rsidR="0014213F" w:rsidRPr="007B46D4" w:rsidRDefault="0014213F" w:rsidP="0014213F">
            <w:pPr>
              <w:spacing w:before="80" w:after="80"/>
              <w:rPr>
                <w:b/>
              </w:rPr>
            </w:pPr>
          </w:p>
        </w:tc>
        <w:tc>
          <w:tcPr>
            <w:tcW w:w="974" w:type="pct"/>
            <w:vMerge/>
            <w:vAlign w:val="center"/>
          </w:tcPr>
          <w:p w14:paraId="25C5DD1E" w14:textId="77777777" w:rsidR="0014213F" w:rsidRPr="00935B2E" w:rsidRDefault="0014213F" w:rsidP="0014213F">
            <w:pPr>
              <w:spacing w:before="80" w:after="80"/>
              <w:rPr>
                <w:b/>
              </w:rPr>
            </w:pPr>
          </w:p>
        </w:tc>
        <w:tc>
          <w:tcPr>
            <w:tcW w:w="2395" w:type="pct"/>
            <w:vMerge/>
            <w:vAlign w:val="center"/>
          </w:tcPr>
          <w:p w14:paraId="32C07EF9" w14:textId="77777777" w:rsidR="0014213F" w:rsidRPr="007F3F77" w:rsidRDefault="0014213F" w:rsidP="0014213F">
            <w:pPr>
              <w:spacing w:before="80" w:after="80"/>
              <w:ind w:left="142"/>
            </w:pPr>
          </w:p>
        </w:tc>
        <w:tc>
          <w:tcPr>
            <w:tcW w:w="592" w:type="pct"/>
            <w:vAlign w:val="center"/>
          </w:tcPr>
          <w:p w14:paraId="1DD3DD57" w14:textId="6DE3D838" w:rsidR="0014213F" w:rsidRDefault="0014213F" w:rsidP="0014213F">
            <w:pPr>
              <w:spacing w:before="80" w:after="80"/>
              <w:jc w:val="center"/>
            </w:pPr>
            <w:r>
              <w:t>NA</w:t>
            </w:r>
          </w:p>
        </w:tc>
        <w:tc>
          <w:tcPr>
            <w:tcW w:w="574" w:type="pct"/>
            <w:vAlign w:val="center"/>
          </w:tcPr>
          <w:p w14:paraId="63DF2600" w14:textId="58EAC4B8" w:rsidR="0014213F" w:rsidRDefault="0015187F" w:rsidP="0014213F">
            <w:pPr>
              <w:pStyle w:val="Bluetext"/>
              <w:spacing w:before="80" w:after="80"/>
              <w:jc w:val="center"/>
            </w:pPr>
            <w:sdt>
              <w:sdtPr>
                <w:id w:val="-951475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213F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97480C" w14:paraId="30D624C0" w14:textId="77777777" w:rsidTr="00935B2E">
        <w:tc>
          <w:tcPr>
            <w:tcW w:w="465" w:type="pct"/>
            <w:vMerge w:val="restart"/>
            <w:vAlign w:val="center"/>
          </w:tcPr>
          <w:p w14:paraId="67EFE63C" w14:textId="5EA39DEF" w:rsidR="0097480C" w:rsidRPr="007B46D4" w:rsidRDefault="0097480C" w:rsidP="00935B2E">
            <w:pPr>
              <w:spacing w:before="80" w:after="80"/>
              <w:rPr>
                <w:b/>
              </w:rPr>
            </w:pPr>
            <w:r>
              <w:rPr>
                <w:b/>
              </w:rPr>
              <w:t>18B.2</w:t>
            </w:r>
          </w:p>
        </w:tc>
        <w:tc>
          <w:tcPr>
            <w:tcW w:w="974" w:type="pct"/>
            <w:vMerge w:val="restart"/>
            <w:vAlign w:val="center"/>
          </w:tcPr>
          <w:p w14:paraId="79608554" w14:textId="45EEC233" w:rsidR="0097480C" w:rsidRPr="00935B2E" w:rsidRDefault="0097480C" w:rsidP="00935B2E">
            <w:pPr>
              <w:spacing w:before="80" w:after="80"/>
              <w:rPr>
                <w:b/>
              </w:rPr>
            </w:pPr>
            <w:r w:rsidRPr="00935B2E">
              <w:rPr>
                <w:b/>
              </w:rPr>
              <w:t>Domestic Appliances Efficiency</w:t>
            </w:r>
          </w:p>
        </w:tc>
        <w:tc>
          <w:tcPr>
            <w:tcW w:w="2395" w:type="pct"/>
            <w:vMerge w:val="restart"/>
            <w:vAlign w:val="center"/>
          </w:tcPr>
          <w:p w14:paraId="3723C0FD" w14:textId="3CAE0AE0" w:rsidR="0097480C" w:rsidRDefault="0097480C" w:rsidP="00935B2E">
            <w:pPr>
              <w:spacing w:before="80" w:after="80"/>
              <w:ind w:left="142"/>
            </w:pPr>
            <w:r>
              <w:t>All domestic appliances are water efficient.</w:t>
            </w:r>
          </w:p>
          <w:p w14:paraId="06E7D930" w14:textId="46BF5AA3" w:rsidR="0097480C" w:rsidRDefault="0097480C" w:rsidP="00935B2E">
            <w:pPr>
              <w:spacing w:before="80" w:after="80"/>
              <w:ind w:left="142"/>
            </w:pPr>
            <w:r w:rsidRPr="005D2E49">
              <w:t>Where no appliances are installed, this criterion is</w:t>
            </w:r>
            <w:r>
              <w:t xml:space="preserve"> made</w:t>
            </w:r>
            <w:r w:rsidRPr="005D2E49">
              <w:t xml:space="preserve"> ‘Not Applicable’.</w:t>
            </w:r>
          </w:p>
        </w:tc>
        <w:tc>
          <w:tcPr>
            <w:tcW w:w="592" w:type="pct"/>
            <w:vAlign w:val="center"/>
          </w:tcPr>
          <w:p w14:paraId="0783A8AF" w14:textId="69350C71" w:rsidR="0097480C" w:rsidRPr="004D1637" w:rsidRDefault="0097480C" w:rsidP="00935B2E">
            <w:pPr>
              <w:spacing w:before="80" w:after="80"/>
              <w:jc w:val="center"/>
            </w:pPr>
            <w:r>
              <w:t>1</w:t>
            </w:r>
          </w:p>
        </w:tc>
        <w:tc>
          <w:tcPr>
            <w:tcW w:w="574" w:type="pct"/>
            <w:vAlign w:val="center"/>
          </w:tcPr>
          <w:p w14:paraId="60EAF56C" w14:textId="0D27E72E" w:rsidR="0097480C" w:rsidRDefault="0097480C" w:rsidP="00935B2E">
            <w:pPr>
              <w:pStyle w:val="Bluetext"/>
              <w:spacing w:before="80" w:after="80"/>
              <w:jc w:val="center"/>
            </w:pPr>
            <w:r w:rsidRPr="00F07C19">
              <w:t>[#]</w:t>
            </w:r>
          </w:p>
        </w:tc>
      </w:tr>
      <w:tr w:rsidR="0097480C" w14:paraId="03B226BB" w14:textId="77777777" w:rsidTr="00935B2E">
        <w:tc>
          <w:tcPr>
            <w:tcW w:w="465" w:type="pct"/>
            <w:vMerge/>
            <w:vAlign w:val="center"/>
          </w:tcPr>
          <w:p w14:paraId="2ACAF41B" w14:textId="77777777" w:rsidR="0097480C" w:rsidRDefault="0097480C" w:rsidP="00935B2E">
            <w:pPr>
              <w:spacing w:before="80" w:after="80"/>
              <w:rPr>
                <w:b/>
              </w:rPr>
            </w:pPr>
          </w:p>
        </w:tc>
        <w:tc>
          <w:tcPr>
            <w:tcW w:w="974" w:type="pct"/>
            <w:vMerge/>
            <w:vAlign w:val="center"/>
          </w:tcPr>
          <w:p w14:paraId="47037232" w14:textId="77777777" w:rsidR="0097480C" w:rsidRPr="00935B2E" w:rsidRDefault="0097480C" w:rsidP="00935B2E">
            <w:pPr>
              <w:spacing w:before="80" w:after="80"/>
              <w:rPr>
                <w:b/>
              </w:rPr>
            </w:pPr>
          </w:p>
        </w:tc>
        <w:tc>
          <w:tcPr>
            <w:tcW w:w="2395" w:type="pct"/>
            <w:vMerge/>
            <w:vAlign w:val="center"/>
          </w:tcPr>
          <w:p w14:paraId="6A40BF74" w14:textId="77777777" w:rsidR="0097480C" w:rsidRDefault="0097480C" w:rsidP="00935B2E">
            <w:pPr>
              <w:spacing w:before="80" w:after="80"/>
              <w:ind w:left="142"/>
            </w:pPr>
          </w:p>
        </w:tc>
        <w:tc>
          <w:tcPr>
            <w:tcW w:w="592" w:type="pct"/>
            <w:vAlign w:val="center"/>
          </w:tcPr>
          <w:p w14:paraId="50FDB66E" w14:textId="43F3D164" w:rsidR="0097480C" w:rsidRDefault="0097480C" w:rsidP="00935B2E">
            <w:pPr>
              <w:spacing w:before="80" w:after="80"/>
              <w:jc w:val="center"/>
            </w:pPr>
            <w:r>
              <w:t>NA</w:t>
            </w:r>
          </w:p>
        </w:tc>
        <w:tc>
          <w:tcPr>
            <w:tcW w:w="574" w:type="pct"/>
            <w:vAlign w:val="center"/>
          </w:tcPr>
          <w:p w14:paraId="304C8C61" w14:textId="1C122120" w:rsidR="0097480C" w:rsidRPr="00F07C19" w:rsidRDefault="0015187F" w:rsidP="00935B2E">
            <w:pPr>
              <w:pStyle w:val="Bluetext"/>
              <w:spacing w:before="80" w:after="80"/>
              <w:jc w:val="center"/>
            </w:pPr>
            <w:sdt>
              <w:sdtPr>
                <w:id w:val="512499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480C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75941" w14:paraId="1A24330C" w14:textId="77777777" w:rsidTr="00935B2E">
        <w:tc>
          <w:tcPr>
            <w:tcW w:w="465" w:type="pct"/>
            <w:vMerge w:val="restart"/>
            <w:vAlign w:val="center"/>
          </w:tcPr>
          <w:p w14:paraId="0306891D" w14:textId="5B14C82B" w:rsidR="00475941" w:rsidRPr="007B46D4" w:rsidRDefault="00475941" w:rsidP="00935B2E">
            <w:pPr>
              <w:spacing w:before="80" w:after="80"/>
              <w:rPr>
                <w:b/>
              </w:rPr>
            </w:pPr>
            <w:r w:rsidRPr="007B46D4">
              <w:rPr>
                <w:b/>
              </w:rPr>
              <w:t>18B.</w:t>
            </w:r>
            <w:r>
              <w:rPr>
                <w:b/>
              </w:rPr>
              <w:t>3</w:t>
            </w:r>
          </w:p>
        </w:tc>
        <w:tc>
          <w:tcPr>
            <w:tcW w:w="974" w:type="pct"/>
            <w:vMerge w:val="restart"/>
            <w:vAlign w:val="center"/>
          </w:tcPr>
          <w:p w14:paraId="2CC6C1E0" w14:textId="474FF5A2" w:rsidR="00475941" w:rsidRPr="002F62FD" w:rsidRDefault="00475941" w:rsidP="00935B2E">
            <w:pPr>
              <w:spacing w:before="80" w:after="80"/>
              <w:rPr>
                <w:b/>
              </w:rPr>
            </w:pPr>
            <w:r w:rsidRPr="00935B2E">
              <w:rPr>
                <w:b/>
              </w:rPr>
              <w:t>Commercial or Industrial Appliances</w:t>
            </w:r>
          </w:p>
        </w:tc>
        <w:tc>
          <w:tcPr>
            <w:tcW w:w="2395" w:type="pct"/>
            <w:vMerge w:val="restart"/>
            <w:vAlign w:val="center"/>
          </w:tcPr>
          <w:p w14:paraId="71BDE7DD" w14:textId="4B5CD15A" w:rsidR="00475941" w:rsidRDefault="00475941" w:rsidP="00935B2E">
            <w:pPr>
              <w:spacing w:before="80" w:after="80"/>
              <w:ind w:left="142"/>
            </w:pPr>
            <w:r>
              <w:t>A</w:t>
            </w:r>
            <w:r w:rsidRPr="005D2E49">
              <w:t xml:space="preserve">ll water-using commercial appliances </w:t>
            </w:r>
            <w:r>
              <w:t>are water efficient.</w:t>
            </w:r>
            <w:r w:rsidRPr="005D2E49">
              <w:t xml:space="preserve"> </w:t>
            </w:r>
          </w:p>
          <w:p w14:paraId="60088BE3" w14:textId="3605008C" w:rsidR="00475941" w:rsidRPr="007F3F77" w:rsidRDefault="00475941" w:rsidP="00935B2E">
            <w:pPr>
              <w:spacing w:before="80" w:after="80"/>
              <w:ind w:left="142"/>
            </w:pPr>
            <w:r w:rsidRPr="005D2E49">
              <w:t>Where no appliances are installed, this criterion is</w:t>
            </w:r>
            <w:r>
              <w:t xml:space="preserve"> made</w:t>
            </w:r>
            <w:r w:rsidRPr="005D2E49">
              <w:t xml:space="preserve"> ‘Not Applicable’.</w:t>
            </w:r>
          </w:p>
        </w:tc>
        <w:tc>
          <w:tcPr>
            <w:tcW w:w="592" w:type="pct"/>
            <w:vAlign w:val="center"/>
          </w:tcPr>
          <w:p w14:paraId="42EB6852" w14:textId="332B4675" w:rsidR="00475941" w:rsidRDefault="00475941" w:rsidP="00935B2E">
            <w:pPr>
              <w:spacing w:before="80" w:after="80"/>
              <w:jc w:val="center"/>
            </w:pPr>
            <w:r w:rsidRPr="004D1637">
              <w:t>1</w:t>
            </w:r>
          </w:p>
        </w:tc>
        <w:tc>
          <w:tcPr>
            <w:tcW w:w="574" w:type="pct"/>
            <w:vAlign w:val="center"/>
          </w:tcPr>
          <w:p w14:paraId="5C0DD7FF" w14:textId="1551A22C" w:rsidR="00475941" w:rsidRDefault="00475941" w:rsidP="00935B2E">
            <w:pPr>
              <w:pStyle w:val="Bluetext"/>
              <w:spacing w:before="80" w:after="80"/>
              <w:jc w:val="center"/>
            </w:pPr>
            <w:r w:rsidRPr="00F07C19">
              <w:t>[#]</w:t>
            </w:r>
          </w:p>
        </w:tc>
      </w:tr>
      <w:tr w:rsidR="00475941" w14:paraId="5017164D" w14:textId="77777777" w:rsidTr="00935B2E">
        <w:tc>
          <w:tcPr>
            <w:tcW w:w="465" w:type="pct"/>
            <w:vMerge/>
            <w:vAlign w:val="center"/>
          </w:tcPr>
          <w:p w14:paraId="5212EB92" w14:textId="77777777" w:rsidR="00475941" w:rsidRPr="007B46D4" w:rsidRDefault="00475941" w:rsidP="00475941">
            <w:pPr>
              <w:spacing w:before="80" w:after="80"/>
              <w:rPr>
                <w:b/>
              </w:rPr>
            </w:pPr>
          </w:p>
        </w:tc>
        <w:tc>
          <w:tcPr>
            <w:tcW w:w="974" w:type="pct"/>
            <w:vMerge/>
            <w:vAlign w:val="center"/>
          </w:tcPr>
          <w:p w14:paraId="3AE40E7D" w14:textId="77777777" w:rsidR="00475941" w:rsidRPr="00935B2E" w:rsidRDefault="00475941" w:rsidP="00475941">
            <w:pPr>
              <w:spacing w:before="80" w:after="80"/>
              <w:rPr>
                <w:b/>
              </w:rPr>
            </w:pPr>
          </w:p>
        </w:tc>
        <w:tc>
          <w:tcPr>
            <w:tcW w:w="2395" w:type="pct"/>
            <w:vMerge/>
            <w:vAlign w:val="center"/>
          </w:tcPr>
          <w:p w14:paraId="5A0CB211" w14:textId="77777777" w:rsidR="00475941" w:rsidRDefault="00475941" w:rsidP="00475941">
            <w:pPr>
              <w:spacing w:before="80" w:after="80"/>
              <w:ind w:left="142"/>
            </w:pPr>
          </w:p>
        </w:tc>
        <w:tc>
          <w:tcPr>
            <w:tcW w:w="592" w:type="pct"/>
            <w:vAlign w:val="center"/>
          </w:tcPr>
          <w:p w14:paraId="34181C27" w14:textId="4CFF02AA" w:rsidR="00475941" w:rsidRPr="004D1637" w:rsidRDefault="00475941" w:rsidP="00475941">
            <w:pPr>
              <w:spacing w:before="80" w:after="80"/>
              <w:jc w:val="center"/>
            </w:pPr>
            <w:r>
              <w:t>NA</w:t>
            </w:r>
          </w:p>
        </w:tc>
        <w:tc>
          <w:tcPr>
            <w:tcW w:w="574" w:type="pct"/>
            <w:vAlign w:val="center"/>
          </w:tcPr>
          <w:p w14:paraId="1BFCE62D" w14:textId="6E1613F7" w:rsidR="00475941" w:rsidRPr="00F07C19" w:rsidRDefault="0015187F" w:rsidP="00475941">
            <w:pPr>
              <w:pStyle w:val="Bluetext"/>
              <w:spacing w:before="80" w:after="80"/>
              <w:jc w:val="center"/>
            </w:pPr>
            <w:sdt>
              <w:sdtPr>
                <w:id w:val="200455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5941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2F62FD" w14:paraId="00DE96E9" w14:textId="77777777" w:rsidTr="00935B2E">
        <w:trPr>
          <w:trHeight w:val="2803"/>
        </w:trPr>
        <w:tc>
          <w:tcPr>
            <w:tcW w:w="465" w:type="pct"/>
            <w:vAlign w:val="center"/>
          </w:tcPr>
          <w:p w14:paraId="79C70BED" w14:textId="3CF49589" w:rsidR="002F62FD" w:rsidRPr="007B46D4" w:rsidRDefault="002F62FD" w:rsidP="00935B2E">
            <w:pPr>
              <w:spacing w:before="80" w:after="80"/>
              <w:rPr>
                <w:b/>
              </w:rPr>
            </w:pPr>
            <w:r w:rsidRPr="007B46D4">
              <w:rPr>
                <w:b/>
              </w:rPr>
              <w:t>18B.</w:t>
            </w:r>
            <w:r>
              <w:rPr>
                <w:b/>
              </w:rPr>
              <w:t>4</w:t>
            </w:r>
          </w:p>
        </w:tc>
        <w:tc>
          <w:tcPr>
            <w:tcW w:w="974" w:type="pct"/>
            <w:vAlign w:val="center"/>
          </w:tcPr>
          <w:p w14:paraId="6421889E" w14:textId="33E7E328" w:rsidR="002F62FD" w:rsidRPr="002F62FD" w:rsidRDefault="002F62FD" w:rsidP="00935B2E">
            <w:pPr>
              <w:spacing w:before="80" w:after="80"/>
              <w:rPr>
                <w:b/>
              </w:rPr>
            </w:pPr>
            <w:r w:rsidRPr="00935B2E">
              <w:rPr>
                <w:b/>
              </w:rPr>
              <w:t>Shared Amenities</w:t>
            </w:r>
          </w:p>
        </w:tc>
        <w:tc>
          <w:tcPr>
            <w:tcW w:w="2395" w:type="pct"/>
            <w:vAlign w:val="center"/>
          </w:tcPr>
          <w:p w14:paraId="22ECA0C6" w14:textId="089D7BDF" w:rsidR="002F62FD" w:rsidRDefault="002F62FD" w:rsidP="00935B2E">
            <w:pPr>
              <w:spacing w:before="80" w:after="80"/>
              <w:ind w:left="142"/>
            </w:pPr>
            <w:r>
              <w:t>The building:</w:t>
            </w:r>
          </w:p>
          <w:p w14:paraId="0339C17F" w14:textId="77C727B4" w:rsidR="002F62FD" w:rsidRDefault="002F62FD" w:rsidP="00935B2E">
            <w:pPr>
              <w:pStyle w:val="ListParagraph"/>
              <w:numPr>
                <w:ilvl w:val="0"/>
                <w:numId w:val="41"/>
              </w:numPr>
              <w:spacing w:before="80" w:after="80" w:line="288" w:lineRule="auto"/>
            </w:pPr>
            <w:r>
              <w:t>Has been awarded at least 3 points in the ‘Water’ category as determined through a certified Green Star rating; or</w:t>
            </w:r>
          </w:p>
          <w:p w14:paraId="59C0CA3A" w14:textId="05E8C969" w:rsidR="002F62FD" w:rsidRDefault="002F62FD" w:rsidP="00935B2E">
            <w:pPr>
              <w:pStyle w:val="ListParagraph"/>
              <w:numPr>
                <w:ilvl w:val="0"/>
                <w:numId w:val="41"/>
              </w:numPr>
              <w:spacing w:before="80" w:after="80" w:line="288" w:lineRule="auto"/>
            </w:pPr>
            <w:r>
              <w:t xml:space="preserve">Has a NABERS Water rating of at least 3 stars; </w:t>
            </w:r>
            <w:r w:rsidR="00D176F2" w:rsidRPr="00852F88">
              <w:rPr>
                <w:b/>
              </w:rPr>
              <w:t>OR</w:t>
            </w:r>
          </w:p>
          <w:p w14:paraId="7583099C" w14:textId="15237D3F" w:rsidR="002F62FD" w:rsidRPr="007F3F77" w:rsidRDefault="002F62FD" w:rsidP="00935B2E">
            <w:pPr>
              <w:pStyle w:val="ListParagraph"/>
              <w:spacing w:before="80" w:after="80"/>
            </w:pPr>
            <w:r>
              <w:t>Has shared amenities that comply with the requirements of Table 18B.2 in this credit.</w:t>
            </w:r>
          </w:p>
        </w:tc>
        <w:tc>
          <w:tcPr>
            <w:tcW w:w="592" w:type="pct"/>
            <w:vAlign w:val="center"/>
          </w:tcPr>
          <w:p w14:paraId="3F149B4F" w14:textId="53742AE9" w:rsidR="002F62FD" w:rsidRDefault="002F62FD" w:rsidP="00935B2E">
            <w:pPr>
              <w:spacing w:before="80" w:after="80"/>
              <w:jc w:val="center"/>
            </w:pPr>
            <w:r>
              <w:t>2</w:t>
            </w:r>
          </w:p>
        </w:tc>
        <w:tc>
          <w:tcPr>
            <w:tcW w:w="574" w:type="pct"/>
            <w:vAlign w:val="center"/>
          </w:tcPr>
          <w:p w14:paraId="1497066F" w14:textId="0EABEDC8" w:rsidR="002F62FD" w:rsidRDefault="002F62FD" w:rsidP="00935B2E">
            <w:pPr>
              <w:pStyle w:val="Bluetext"/>
              <w:spacing w:before="80" w:after="80"/>
              <w:jc w:val="center"/>
            </w:pPr>
            <w:r w:rsidRPr="00F07C19">
              <w:t>[#]</w:t>
            </w:r>
          </w:p>
        </w:tc>
      </w:tr>
    </w:tbl>
    <w:p w14:paraId="57C5488A" w14:textId="77777777" w:rsidR="00935B2E" w:rsidRDefault="00935B2E" w:rsidP="00935B2E">
      <w:pPr>
        <w:pStyle w:val="Heading2"/>
        <w:spacing w:before="120"/>
      </w:pPr>
      <w:bookmarkStart w:id="1" w:name="h.fwvpjw869anz"/>
      <w:bookmarkEnd w:id="1"/>
    </w:p>
    <w:p w14:paraId="38079A2C" w14:textId="77777777" w:rsidR="00935B2E" w:rsidRDefault="00935B2E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7AA43F3D" w14:textId="77777777" w:rsidR="00852F88" w:rsidRPr="00FA0164" w:rsidRDefault="00852F88" w:rsidP="00852F88">
      <w:pPr>
        <w:pStyle w:val="Heading2"/>
      </w:pPr>
      <w:r w:rsidRPr="00FA0164">
        <w:lastRenderedPageBreak/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852F88" w:rsidRPr="00FA0164" w14:paraId="2AAD6022" w14:textId="77777777" w:rsidTr="0065246D">
        <w:tc>
          <w:tcPr>
            <w:tcW w:w="3994" w:type="pct"/>
            <w:vAlign w:val="center"/>
          </w:tcPr>
          <w:p w14:paraId="0A1AFAC7" w14:textId="46DD9D7E" w:rsidR="00852F88" w:rsidRPr="00FA0164" w:rsidRDefault="00852F88" w:rsidP="0065246D">
            <w:r w:rsidRPr="00FA0164">
              <w:t xml:space="preserve">There are no project-specific </w:t>
            </w:r>
            <w:r w:rsidR="00697CED">
              <w:t>T</w:t>
            </w:r>
            <w:r w:rsidRPr="00FA0164">
              <w:t xml:space="preserve">echnical </w:t>
            </w:r>
            <w:r w:rsidR="00697CED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  <w:vAlign w:val="center"/>
          </w:tcPr>
          <w:p w14:paraId="48136242" w14:textId="77777777" w:rsidR="00852F88" w:rsidRPr="00FA0164" w:rsidRDefault="0015187F" w:rsidP="0065246D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F88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52F88" w:rsidRPr="00FA0164" w14:paraId="33850131" w14:textId="77777777" w:rsidTr="0065246D">
        <w:tc>
          <w:tcPr>
            <w:tcW w:w="3994" w:type="pct"/>
            <w:vAlign w:val="center"/>
          </w:tcPr>
          <w:p w14:paraId="584DD03E" w14:textId="3FB0FC98" w:rsidR="00852F88" w:rsidRPr="00FA0164" w:rsidRDefault="00852F88" w:rsidP="0065246D">
            <w:r w:rsidRPr="00FA0164">
              <w:t xml:space="preserve">There are project-specific </w:t>
            </w:r>
            <w:r w:rsidR="00697CED">
              <w:t>T</w:t>
            </w:r>
            <w:r w:rsidRPr="00FA0164">
              <w:t xml:space="preserve">echnical </w:t>
            </w:r>
            <w:r w:rsidR="00697CED">
              <w:t>Q</w:t>
            </w:r>
            <w:r w:rsidRPr="00FA0164">
              <w:t xml:space="preserve">uestions for this credit and all responses received from the </w:t>
            </w:r>
            <w:r w:rsidR="00BB73BE">
              <w:t>NZ</w:t>
            </w:r>
            <w:r w:rsidRPr="00FA0164">
              <w:t>GBC are attached.</w:t>
            </w:r>
          </w:p>
        </w:tc>
        <w:tc>
          <w:tcPr>
            <w:tcW w:w="1006" w:type="pct"/>
            <w:vAlign w:val="center"/>
          </w:tcPr>
          <w:p w14:paraId="3C3AB6D6" w14:textId="77777777" w:rsidR="00852F88" w:rsidRPr="00FA0164" w:rsidRDefault="0015187F" w:rsidP="0065246D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F88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16B26AA5" w14:textId="77777777" w:rsidR="00935B2E" w:rsidRDefault="00935B2E" w:rsidP="00931C35">
      <w:pPr>
        <w:pStyle w:val="Criterionsubheading"/>
        <w:numPr>
          <w:ilvl w:val="0"/>
          <w:numId w:val="0"/>
        </w:numPr>
      </w:pPr>
    </w:p>
    <w:p w14:paraId="18678166" w14:textId="1F54A76B" w:rsidR="005C2F1A" w:rsidRDefault="00931C35" w:rsidP="00931C35">
      <w:pPr>
        <w:pStyle w:val="Criterionsubheading"/>
        <w:numPr>
          <w:ilvl w:val="0"/>
          <w:numId w:val="0"/>
        </w:numPr>
      </w:pPr>
      <w:r>
        <w:t xml:space="preserve">18B.1 </w:t>
      </w:r>
      <w:r w:rsidR="00991221" w:rsidRPr="00353DC7">
        <w:t>Sanitary Fixture Efficiency</w:t>
      </w:r>
    </w:p>
    <w:p w14:paraId="268A688F" w14:textId="0EA74EB1" w:rsidR="002F62FD" w:rsidRDefault="002F62FD" w:rsidP="00935B2E">
      <w:r>
        <w:t>Please select one of the following options: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2F62FD" w14:paraId="2972329A" w14:textId="77777777" w:rsidTr="0092070F">
        <w:tc>
          <w:tcPr>
            <w:tcW w:w="3994" w:type="pct"/>
            <w:vAlign w:val="center"/>
          </w:tcPr>
          <w:p w14:paraId="1BA02994" w14:textId="61AD8489" w:rsidR="002F62FD" w:rsidRPr="003A2BE3" w:rsidRDefault="002F62FD">
            <w:r>
              <w:t xml:space="preserve">The project is specifying the fixtures and fittings listed in the table below which will contribute to reductions in potable water demand. These fixtures and fittings </w:t>
            </w:r>
            <w:r w:rsidRPr="006022EE">
              <w:t xml:space="preserve">are all rated within </w:t>
            </w:r>
            <w:r>
              <w:t>one</w:t>
            </w:r>
            <w:r w:rsidRPr="006022EE">
              <w:t xml:space="preserve"> s</w:t>
            </w:r>
            <w:r>
              <w:t xml:space="preserve">tar of the </w:t>
            </w:r>
            <w:r w:rsidR="002B59B2">
              <w:t>WELS rating stated in Table 18B.2</w:t>
            </w:r>
            <w:r>
              <w:t xml:space="preserve">.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382872503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169480277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6A67C15E" w14:textId="77777777" w:rsidR="002F62FD" w:rsidRPr="003A2BE3" w:rsidRDefault="002F62FD" w:rsidP="0092070F">
                    <w:pPr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2F62FD" w14:paraId="47B96A55" w14:textId="77777777" w:rsidTr="0092070F">
        <w:tc>
          <w:tcPr>
            <w:tcW w:w="3994" w:type="pct"/>
            <w:vAlign w:val="center"/>
          </w:tcPr>
          <w:p w14:paraId="1D0C16AA" w14:textId="3F04DAF9" w:rsidR="002F62FD" w:rsidRPr="003A2BE3" w:rsidRDefault="002F62FD" w:rsidP="00BF39A6">
            <w:r>
              <w:t>N</w:t>
            </w:r>
            <w:r w:rsidRPr="005D2E49">
              <w:t xml:space="preserve">o </w:t>
            </w:r>
            <w:r>
              <w:t>fixtures</w:t>
            </w:r>
            <w:r w:rsidRPr="005D2E49">
              <w:t xml:space="preserve"> </w:t>
            </w:r>
            <w:r>
              <w:t xml:space="preserve">or fittings </w:t>
            </w:r>
            <w:r w:rsidRPr="005D2E49">
              <w:t xml:space="preserve">are </w:t>
            </w:r>
            <w:r w:rsidR="002B59B2">
              <w:t xml:space="preserve">being </w:t>
            </w:r>
            <w:r w:rsidRPr="005D2E49">
              <w:t>installed</w:t>
            </w:r>
            <w:r>
              <w:t xml:space="preserve"> in the project and </w:t>
            </w:r>
            <w:r w:rsidRPr="005D2E49">
              <w:t>this criterion is</w:t>
            </w:r>
            <w:r>
              <w:t xml:space="preserve"> </w:t>
            </w:r>
            <w:r w:rsidRPr="005D2E49">
              <w:t>‘Not Applicable’.</w:t>
            </w:r>
            <w:r w:rsidR="00BF39A6">
              <w:t xml:space="preserve"> No further information is required.</w:t>
            </w:r>
            <w:r>
              <w:t xml:space="preserve">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851179077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148068134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73CE2DA1" w14:textId="14E10486" w:rsidR="002F62FD" w:rsidRPr="003A2BE3" w:rsidRDefault="002B59B2" w:rsidP="0092070F">
                    <w:pPr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2ECC7452" w14:textId="77777777" w:rsidR="002F62FD" w:rsidRDefault="002F62FD" w:rsidP="00991221"/>
    <w:p w14:paraId="55DBEAFD" w14:textId="16358235" w:rsidR="00991221" w:rsidRDefault="00BF39A6" w:rsidP="00991221">
      <w:r>
        <w:t>List of compliant f</w:t>
      </w:r>
      <w:r w:rsidR="002B59B2">
        <w:t>ixtures and fittings being specified in the project: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536"/>
        <w:gridCol w:w="1684"/>
        <w:gridCol w:w="1394"/>
        <w:gridCol w:w="1760"/>
        <w:gridCol w:w="1436"/>
        <w:gridCol w:w="1433"/>
      </w:tblGrid>
      <w:tr w:rsidR="00991221" w14:paraId="1C916E98" w14:textId="77777777" w:rsidTr="00935B2E">
        <w:tc>
          <w:tcPr>
            <w:tcW w:w="831" w:type="pct"/>
            <w:shd w:val="clear" w:color="auto" w:fill="FFE69E" w:themeFill="text1" w:themeFillTint="66"/>
            <w:vAlign w:val="center"/>
          </w:tcPr>
          <w:p w14:paraId="70D2E0F2" w14:textId="77777777" w:rsidR="00991221" w:rsidRPr="009D4708" w:rsidRDefault="00991221" w:rsidP="00BF39A6">
            <w:pPr>
              <w:rPr>
                <w:b/>
              </w:rPr>
            </w:pPr>
            <w:r w:rsidRPr="009D4708">
              <w:rPr>
                <w:b/>
              </w:rPr>
              <w:t>Item</w:t>
            </w:r>
          </w:p>
        </w:tc>
        <w:tc>
          <w:tcPr>
            <w:tcW w:w="911" w:type="pct"/>
            <w:shd w:val="clear" w:color="auto" w:fill="FFE69E" w:themeFill="text1" w:themeFillTint="66"/>
            <w:vAlign w:val="center"/>
          </w:tcPr>
          <w:p w14:paraId="650C997A" w14:textId="2A9F213C" w:rsidR="00991221" w:rsidRPr="009D4708" w:rsidRDefault="00991221">
            <w:pPr>
              <w:rPr>
                <w:b/>
              </w:rPr>
            </w:pPr>
            <w:r w:rsidRPr="009D4708">
              <w:rPr>
                <w:b/>
              </w:rPr>
              <w:t xml:space="preserve">Schedule </w:t>
            </w:r>
            <w:r w:rsidR="00F54FF2">
              <w:rPr>
                <w:b/>
              </w:rPr>
              <w:t>Reference</w:t>
            </w:r>
          </w:p>
        </w:tc>
        <w:tc>
          <w:tcPr>
            <w:tcW w:w="754" w:type="pct"/>
            <w:shd w:val="clear" w:color="auto" w:fill="FFE69E" w:themeFill="text1" w:themeFillTint="66"/>
            <w:vAlign w:val="center"/>
          </w:tcPr>
          <w:p w14:paraId="5F41B1D3" w14:textId="74D7713E" w:rsidR="00991221" w:rsidRPr="009D4708" w:rsidRDefault="00991221">
            <w:pPr>
              <w:rPr>
                <w:b/>
              </w:rPr>
            </w:pPr>
            <w:r w:rsidRPr="009D4708">
              <w:rPr>
                <w:b/>
              </w:rPr>
              <w:t>WELS</w:t>
            </w:r>
            <w:r w:rsidR="002B59B2">
              <w:rPr>
                <w:b/>
              </w:rPr>
              <w:t xml:space="preserve"> </w:t>
            </w:r>
            <w:r w:rsidRPr="009D4708">
              <w:rPr>
                <w:b/>
              </w:rPr>
              <w:t>Rating</w:t>
            </w:r>
          </w:p>
        </w:tc>
        <w:tc>
          <w:tcPr>
            <w:tcW w:w="952" w:type="pct"/>
            <w:shd w:val="clear" w:color="auto" w:fill="FFE69E" w:themeFill="text1" w:themeFillTint="66"/>
            <w:vAlign w:val="center"/>
          </w:tcPr>
          <w:p w14:paraId="764FCD48" w14:textId="77777777" w:rsidR="00991221" w:rsidRPr="009D4708" w:rsidRDefault="00991221">
            <w:pPr>
              <w:rPr>
                <w:b/>
              </w:rPr>
            </w:pPr>
            <w:r w:rsidRPr="009D4708">
              <w:rPr>
                <w:b/>
              </w:rPr>
              <w:t xml:space="preserve">Flowrate </w:t>
            </w:r>
          </w:p>
          <w:p w14:paraId="6E8336FE" w14:textId="77777777" w:rsidR="00991221" w:rsidRPr="009D4708" w:rsidRDefault="00991221">
            <w:pPr>
              <w:rPr>
                <w:b/>
              </w:rPr>
            </w:pPr>
            <w:r w:rsidRPr="009D4708">
              <w:rPr>
                <w:b/>
              </w:rPr>
              <w:t>(L/min or L/flush)</w:t>
            </w:r>
          </w:p>
        </w:tc>
        <w:tc>
          <w:tcPr>
            <w:tcW w:w="777" w:type="pct"/>
            <w:shd w:val="clear" w:color="auto" w:fill="FFE69E" w:themeFill="text1" w:themeFillTint="66"/>
            <w:vAlign w:val="center"/>
          </w:tcPr>
          <w:p w14:paraId="3AE1A795" w14:textId="77777777" w:rsidR="00991221" w:rsidRPr="009D4708" w:rsidRDefault="00991221">
            <w:pPr>
              <w:rPr>
                <w:b/>
              </w:rPr>
            </w:pPr>
            <w:r w:rsidRPr="009D4708">
              <w:rPr>
                <w:b/>
              </w:rPr>
              <w:t>Quantity of fixtures</w:t>
            </w:r>
          </w:p>
        </w:tc>
        <w:tc>
          <w:tcPr>
            <w:tcW w:w="775" w:type="pct"/>
            <w:shd w:val="clear" w:color="auto" w:fill="FFE69E" w:themeFill="text1" w:themeFillTint="66"/>
            <w:vAlign w:val="center"/>
          </w:tcPr>
          <w:p w14:paraId="7DE6DBF6" w14:textId="77777777" w:rsidR="00991221" w:rsidRPr="009D4708" w:rsidRDefault="00991221">
            <w:pPr>
              <w:rPr>
                <w:b/>
              </w:rPr>
            </w:pPr>
            <w:r w:rsidRPr="009D4708">
              <w:rPr>
                <w:b/>
              </w:rPr>
              <w:t>Highest Available WELS Rating</w:t>
            </w:r>
          </w:p>
        </w:tc>
      </w:tr>
      <w:tr w:rsidR="00991221" w14:paraId="1E2FE09E" w14:textId="77777777" w:rsidTr="002B59B2">
        <w:tc>
          <w:tcPr>
            <w:tcW w:w="831" w:type="pct"/>
          </w:tcPr>
          <w:p w14:paraId="124C8B5F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A]</w:t>
            </w:r>
          </w:p>
        </w:tc>
        <w:tc>
          <w:tcPr>
            <w:tcW w:w="911" w:type="pct"/>
          </w:tcPr>
          <w:p w14:paraId="1D8B804C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0BC5B3B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3A8C0743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28FF6D62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6A140C7C" w14:textId="77777777" w:rsidR="00991221" w:rsidRPr="00916828" w:rsidRDefault="00991221" w:rsidP="001E4803">
            <w:pPr>
              <w:jc w:val="center"/>
            </w:pPr>
            <w:r w:rsidRPr="00916828">
              <w:t>5</w:t>
            </w:r>
          </w:p>
        </w:tc>
      </w:tr>
      <w:tr w:rsidR="00991221" w14:paraId="67B9C2CD" w14:textId="77777777" w:rsidTr="002B59B2">
        <w:tc>
          <w:tcPr>
            <w:tcW w:w="831" w:type="pct"/>
          </w:tcPr>
          <w:p w14:paraId="2DC8D2A2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B]</w:t>
            </w:r>
          </w:p>
        </w:tc>
        <w:tc>
          <w:tcPr>
            <w:tcW w:w="911" w:type="pct"/>
          </w:tcPr>
          <w:p w14:paraId="0C45646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5D2964D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180E4009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75BB480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2CC6F535" w14:textId="77777777" w:rsidR="00991221" w:rsidRPr="00916828" w:rsidRDefault="00991221" w:rsidP="001E4803">
            <w:pPr>
              <w:jc w:val="center"/>
            </w:pPr>
            <w:r w:rsidRPr="00916828">
              <w:t>5</w:t>
            </w:r>
          </w:p>
        </w:tc>
      </w:tr>
      <w:tr w:rsidR="00991221" w14:paraId="3A9190E9" w14:textId="77777777" w:rsidTr="002B59B2">
        <w:tc>
          <w:tcPr>
            <w:tcW w:w="831" w:type="pct"/>
          </w:tcPr>
          <w:p w14:paraId="5C73166D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A]</w:t>
            </w:r>
          </w:p>
        </w:tc>
        <w:tc>
          <w:tcPr>
            <w:tcW w:w="911" w:type="pct"/>
          </w:tcPr>
          <w:p w14:paraId="4630394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43121EED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2939448A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15071ED4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4D366370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5145BF57" w14:textId="77777777" w:rsidTr="002B59B2">
        <w:tc>
          <w:tcPr>
            <w:tcW w:w="831" w:type="pct"/>
          </w:tcPr>
          <w:p w14:paraId="7D711095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B]</w:t>
            </w:r>
          </w:p>
        </w:tc>
        <w:tc>
          <w:tcPr>
            <w:tcW w:w="911" w:type="pct"/>
          </w:tcPr>
          <w:p w14:paraId="75963171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1DF3AC12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281CF74C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7A47E065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32786EF7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180D1A27" w14:textId="77777777" w:rsidTr="002B59B2">
        <w:tc>
          <w:tcPr>
            <w:tcW w:w="831" w:type="pct"/>
          </w:tcPr>
          <w:p w14:paraId="7BCA3CA0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A]</w:t>
            </w:r>
          </w:p>
        </w:tc>
        <w:tc>
          <w:tcPr>
            <w:tcW w:w="911" w:type="pct"/>
          </w:tcPr>
          <w:p w14:paraId="1884C608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38ADD6C8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00158124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5407E452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4DCEF801" w14:textId="77777777" w:rsidR="00991221" w:rsidRPr="00916828" w:rsidRDefault="00991221" w:rsidP="001E4803">
            <w:pPr>
              <w:jc w:val="center"/>
            </w:pPr>
            <w:r w:rsidRPr="00916828">
              <w:t>3</w:t>
            </w:r>
          </w:p>
        </w:tc>
      </w:tr>
      <w:tr w:rsidR="00991221" w14:paraId="6B12C5AB" w14:textId="77777777" w:rsidTr="002B59B2">
        <w:tc>
          <w:tcPr>
            <w:tcW w:w="831" w:type="pct"/>
          </w:tcPr>
          <w:p w14:paraId="49B11133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B]</w:t>
            </w:r>
          </w:p>
        </w:tc>
        <w:tc>
          <w:tcPr>
            <w:tcW w:w="911" w:type="pct"/>
          </w:tcPr>
          <w:p w14:paraId="28EDB2DC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41F379E3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3497DCBF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40FC58B7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2BE42957" w14:textId="77777777" w:rsidR="00991221" w:rsidRPr="00916828" w:rsidRDefault="00991221" w:rsidP="001E4803">
            <w:pPr>
              <w:jc w:val="center"/>
            </w:pPr>
            <w:r w:rsidRPr="00916828">
              <w:t>3</w:t>
            </w:r>
          </w:p>
        </w:tc>
      </w:tr>
      <w:tr w:rsidR="00991221" w14:paraId="58781182" w14:textId="77777777" w:rsidTr="002B59B2">
        <w:tc>
          <w:tcPr>
            <w:tcW w:w="831" w:type="pct"/>
          </w:tcPr>
          <w:p w14:paraId="4A3633DF" w14:textId="77777777" w:rsidR="00991221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A]</w:t>
            </w:r>
          </w:p>
        </w:tc>
        <w:tc>
          <w:tcPr>
            <w:tcW w:w="911" w:type="pct"/>
          </w:tcPr>
          <w:p w14:paraId="1C70CA81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2E157E32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09971B02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04F3E336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1B604D09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24ABA401" w14:textId="77777777" w:rsidTr="002B59B2">
        <w:tc>
          <w:tcPr>
            <w:tcW w:w="831" w:type="pct"/>
          </w:tcPr>
          <w:p w14:paraId="11448DC2" w14:textId="77777777" w:rsidR="00991221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B]</w:t>
            </w:r>
          </w:p>
        </w:tc>
        <w:tc>
          <w:tcPr>
            <w:tcW w:w="911" w:type="pct"/>
          </w:tcPr>
          <w:p w14:paraId="0DFF03AD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0B3CC02B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34A4ED91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363A9324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002BA027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</w:tbl>
    <w:p w14:paraId="3E020D6F" w14:textId="7A504C3D" w:rsidR="002B59B2" w:rsidRDefault="001A6E9F" w:rsidP="002B59B2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76927E8F" w14:textId="77777777" w:rsidR="00F75951" w:rsidRDefault="00F75951" w:rsidP="00F75951">
      <w:r>
        <w:t xml:space="preserve">Please describe fixtures and fittings that are excluded from the compliance and justify the reason. </w:t>
      </w:r>
    </w:p>
    <w:p w14:paraId="6D0E3CD7" w14:textId="77777777" w:rsidR="00F75951" w:rsidRDefault="00F75951" w:rsidP="00F7595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640FEE9" w14:textId="77777777" w:rsidR="00F75951" w:rsidRDefault="00F75951" w:rsidP="00F7595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68025C3" w14:textId="77777777" w:rsidR="00F75951" w:rsidRDefault="00F75951" w:rsidP="00F7595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D3559A5" w14:textId="77777777" w:rsidR="00F75951" w:rsidRDefault="00F75951" w:rsidP="00F7595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2BCE470" w14:textId="77777777" w:rsidR="00F75951" w:rsidRDefault="00F75951" w:rsidP="00F7595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39459D3" w14:textId="77777777" w:rsidR="00F75951" w:rsidRDefault="00F75951" w:rsidP="00F7595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615BD5E" w14:textId="77777777" w:rsidR="002B59B2" w:rsidRPr="00F44703" w:rsidRDefault="002B59B2" w:rsidP="002B59B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B59B2" w14:paraId="1E15322A" w14:textId="77777777" w:rsidTr="0092070F">
        <w:tc>
          <w:tcPr>
            <w:tcW w:w="6912" w:type="dxa"/>
            <w:shd w:val="clear" w:color="auto" w:fill="FFE69D"/>
          </w:tcPr>
          <w:p w14:paraId="1B0EA175" w14:textId="77777777" w:rsidR="002B59B2" w:rsidRPr="00F44703" w:rsidRDefault="002B59B2" w:rsidP="0092070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B54C4F9" w14:textId="77777777" w:rsidR="002B59B2" w:rsidRPr="00F44703" w:rsidRDefault="002B59B2" w:rsidP="0092070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B59B2" w14:paraId="5052EBA8" w14:textId="77777777" w:rsidTr="0092070F">
        <w:tc>
          <w:tcPr>
            <w:tcW w:w="6912" w:type="dxa"/>
          </w:tcPr>
          <w:p w14:paraId="2E324775" w14:textId="77777777" w:rsidR="002B59B2" w:rsidRDefault="002B59B2" w:rsidP="0092070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9EC10F2" w14:textId="77777777" w:rsidR="002B59B2" w:rsidRDefault="002B59B2" w:rsidP="0092070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B59B2" w14:paraId="5744E2B1" w14:textId="77777777" w:rsidTr="0092070F">
        <w:tc>
          <w:tcPr>
            <w:tcW w:w="6912" w:type="dxa"/>
          </w:tcPr>
          <w:p w14:paraId="18275A69" w14:textId="77777777" w:rsidR="002B59B2" w:rsidRPr="001A76C9" w:rsidRDefault="002B59B2" w:rsidP="0092070F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38C42179" w14:textId="77777777" w:rsidR="002B59B2" w:rsidRPr="001A76C9" w:rsidRDefault="002B59B2" w:rsidP="0092070F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DDBC775" w14:textId="74BDBCE6" w:rsidR="00F564E2" w:rsidRDefault="00F564E2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01282CE9" w14:textId="2FC97009" w:rsidR="00551D41" w:rsidRDefault="00551D41" w:rsidP="00551D41">
      <w:pPr>
        <w:pStyle w:val="Criterionsubheading"/>
        <w:numPr>
          <w:ilvl w:val="0"/>
          <w:numId w:val="0"/>
        </w:numPr>
        <w:ind w:left="360" w:hanging="360"/>
      </w:pPr>
      <w:r>
        <w:t>18B.2 Domestic Appliances</w:t>
      </w:r>
    </w:p>
    <w:p w14:paraId="5D7A6F14" w14:textId="77777777" w:rsidR="002B59B2" w:rsidRDefault="002B59B2" w:rsidP="002B59B2">
      <w:r>
        <w:t>Please select one of the following options: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2B59B2" w14:paraId="65242C2F" w14:textId="77777777" w:rsidTr="0092070F">
        <w:tc>
          <w:tcPr>
            <w:tcW w:w="3994" w:type="pct"/>
            <w:vAlign w:val="center"/>
          </w:tcPr>
          <w:p w14:paraId="3D0430D3" w14:textId="0A7CE27A" w:rsidR="002B59B2" w:rsidRPr="003A2BE3" w:rsidRDefault="002B59B2" w:rsidP="00BF39A6">
            <w:r>
              <w:t xml:space="preserve">The project is specifying the domestic appliances listed in the table below which will contribute to reductions in potable water demand. These fixtures and fittings </w:t>
            </w:r>
            <w:r w:rsidRPr="006022EE">
              <w:t xml:space="preserve">are all rated within </w:t>
            </w:r>
            <w:r>
              <w:t>one</w:t>
            </w:r>
            <w:r w:rsidRPr="006022EE">
              <w:t xml:space="preserve"> s</w:t>
            </w:r>
            <w:r>
              <w:t xml:space="preserve">tar of the WELS rating stated in Table 18B.3.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338778547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86286686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64D1F155" w14:textId="77777777" w:rsidR="002B59B2" w:rsidRPr="003A2BE3" w:rsidRDefault="002B59B2" w:rsidP="0092070F">
                    <w:pPr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2B59B2" w14:paraId="1121151C" w14:textId="77777777" w:rsidTr="0092070F">
        <w:tc>
          <w:tcPr>
            <w:tcW w:w="3994" w:type="pct"/>
            <w:vAlign w:val="center"/>
          </w:tcPr>
          <w:p w14:paraId="37BFECE7" w14:textId="43B2D792" w:rsidR="002B59B2" w:rsidRPr="003A2BE3" w:rsidRDefault="002B59B2" w:rsidP="001A6E9F">
            <w:r>
              <w:t>N</w:t>
            </w:r>
            <w:r w:rsidRPr="005D2E49">
              <w:t xml:space="preserve">o </w:t>
            </w:r>
            <w:r>
              <w:t xml:space="preserve">domestic appliances </w:t>
            </w:r>
            <w:r w:rsidRPr="005D2E49">
              <w:t>are</w:t>
            </w:r>
            <w:r>
              <w:t xml:space="preserve"> being</w:t>
            </w:r>
            <w:r w:rsidRPr="005D2E49">
              <w:t xml:space="preserve"> installed</w:t>
            </w:r>
            <w:r>
              <w:t xml:space="preserve"> in the project and </w:t>
            </w:r>
            <w:r w:rsidRPr="005D2E49">
              <w:t>this criterion is</w:t>
            </w:r>
            <w:r>
              <w:t xml:space="preserve"> </w:t>
            </w:r>
            <w:r w:rsidRPr="005D2E49">
              <w:t>‘Not Applicable’.</w:t>
            </w:r>
            <w:r>
              <w:t xml:space="preserve"> </w:t>
            </w:r>
            <w:r w:rsidR="00BF39A6">
              <w:t>No further information is required.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180085599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174460032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58F02DFC" w14:textId="77777777" w:rsidR="002B59B2" w:rsidRPr="003A2BE3" w:rsidRDefault="002B59B2" w:rsidP="0092070F">
                    <w:pPr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0C6410DD" w14:textId="0E3B560D" w:rsidR="002B59B2" w:rsidRDefault="00BF39A6" w:rsidP="00935B2E">
      <w:r>
        <w:t>List of compliant domestic appliances being specified in the project: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2354"/>
        <w:gridCol w:w="2109"/>
        <w:gridCol w:w="1264"/>
        <w:gridCol w:w="1324"/>
        <w:gridCol w:w="2192"/>
      </w:tblGrid>
      <w:tr w:rsidR="00551D41" w14:paraId="6D4D7423" w14:textId="77777777" w:rsidTr="00935B2E">
        <w:tc>
          <w:tcPr>
            <w:tcW w:w="1273" w:type="pct"/>
            <w:shd w:val="clear" w:color="auto" w:fill="FFE69E" w:themeFill="text1" w:themeFillTint="66"/>
            <w:vAlign w:val="center"/>
          </w:tcPr>
          <w:p w14:paraId="7D4F8E0E" w14:textId="77777777" w:rsidR="00551D41" w:rsidRPr="009D4708" w:rsidRDefault="00551D41" w:rsidP="00BF39A6">
            <w:pPr>
              <w:rPr>
                <w:b/>
              </w:rPr>
            </w:pPr>
            <w:r w:rsidRPr="009D4708">
              <w:rPr>
                <w:b/>
              </w:rPr>
              <w:t>Item</w:t>
            </w:r>
          </w:p>
        </w:tc>
        <w:tc>
          <w:tcPr>
            <w:tcW w:w="1141" w:type="pct"/>
            <w:shd w:val="clear" w:color="auto" w:fill="FFE69E" w:themeFill="text1" w:themeFillTint="66"/>
            <w:vAlign w:val="center"/>
          </w:tcPr>
          <w:p w14:paraId="70099DC1" w14:textId="77777777" w:rsidR="00551D41" w:rsidRPr="009D4708" w:rsidRDefault="00551D41">
            <w:pPr>
              <w:rPr>
                <w:b/>
              </w:rPr>
            </w:pPr>
            <w:r w:rsidRPr="009D4708">
              <w:rPr>
                <w:b/>
              </w:rPr>
              <w:t xml:space="preserve">Schedule </w:t>
            </w:r>
            <w:r>
              <w:rPr>
                <w:b/>
              </w:rPr>
              <w:t>Reference</w:t>
            </w:r>
          </w:p>
        </w:tc>
        <w:tc>
          <w:tcPr>
            <w:tcW w:w="684" w:type="pct"/>
            <w:shd w:val="clear" w:color="auto" w:fill="FFE69E" w:themeFill="text1" w:themeFillTint="66"/>
            <w:vAlign w:val="center"/>
          </w:tcPr>
          <w:p w14:paraId="3BF5E548" w14:textId="77777777" w:rsidR="00551D41" w:rsidRPr="009D4708" w:rsidRDefault="00551D41">
            <w:pPr>
              <w:rPr>
                <w:b/>
              </w:rPr>
            </w:pPr>
            <w:r w:rsidRPr="009D4708">
              <w:rPr>
                <w:b/>
              </w:rPr>
              <w:t xml:space="preserve">WELS </w:t>
            </w:r>
          </w:p>
          <w:p w14:paraId="6369D1D9" w14:textId="77777777" w:rsidR="00551D41" w:rsidRPr="009D4708" w:rsidRDefault="00551D41">
            <w:pPr>
              <w:rPr>
                <w:b/>
              </w:rPr>
            </w:pPr>
            <w:r w:rsidRPr="009D4708">
              <w:rPr>
                <w:b/>
              </w:rPr>
              <w:t>Rating</w:t>
            </w:r>
            <w:r>
              <w:rPr>
                <w:b/>
              </w:rPr>
              <w:t xml:space="preserve"> or flow rate</w:t>
            </w:r>
          </w:p>
        </w:tc>
        <w:tc>
          <w:tcPr>
            <w:tcW w:w="716" w:type="pct"/>
            <w:shd w:val="clear" w:color="auto" w:fill="FFE69E" w:themeFill="text1" w:themeFillTint="66"/>
            <w:vAlign w:val="center"/>
          </w:tcPr>
          <w:p w14:paraId="6DA451BD" w14:textId="77777777" w:rsidR="00551D41" w:rsidRPr="009D4708" w:rsidRDefault="00551D41">
            <w:pPr>
              <w:rPr>
                <w:b/>
              </w:rPr>
            </w:pPr>
            <w:r w:rsidRPr="009D4708">
              <w:rPr>
                <w:b/>
              </w:rPr>
              <w:t>Quantity of fixtures</w:t>
            </w:r>
          </w:p>
        </w:tc>
        <w:tc>
          <w:tcPr>
            <w:tcW w:w="1186" w:type="pct"/>
            <w:shd w:val="clear" w:color="auto" w:fill="FFE69E" w:themeFill="text1" w:themeFillTint="66"/>
            <w:vAlign w:val="center"/>
          </w:tcPr>
          <w:p w14:paraId="53E0ACAE" w14:textId="77777777" w:rsidR="00551D41" w:rsidRPr="009D4708" w:rsidRDefault="00551D41">
            <w:pPr>
              <w:rPr>
                <w:b/>
              </w:rPr>
            </w:pPr>
            <w:r w:rsidRPr="009D4708">
              <w:rPr>
                <w:b/>
              </w:rPr>
              <w:t>Highest Available WELS Rating</w:t>
            </w:r>
            <w:r>
              <w:rPr>
                <w:b/>
              </w:rPr>
              <w:t xml:space="preserve"> or flow rate</w:t>
            </w:r>
          </w:p>
        </w:tc>
      </w:tr>
      <w:tr w:rsidR="00551D41" w14:paraId="557CF160" w14:textId="77777777" w:rsidTr="009C5461">
        <w:tc>
          <w:tcPr>
            <w:tcW w:w="1273" w:type="pct"/>
          </w:tcPr>
          <w:p w14:paraId="4F6D5641" w14:textId="4DCD5EC9" w:rsidR="00551D41" w:rsidRDefault="002B59B2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="00551D41">
              <w:rPr>
                <w:color w:val="8064A2" w:themeColor="accent4"/>
              </w:rPr>
              <w:t xml:space="preserve">Dishwasher </w:t>
            </w:r>
            <w:r>
              <w:rPr>
                <w:color w:val="8064A2" w:themeColor="accent4"/>
              </w:rPr>
              <w:t>A]</w:t>
            </w:r>
          </w:p>
        </w:tc>
        <w:tc>
          <w:tcPr>
            <w:tcW w:w="1141" w:type="pct"/>
          </w:tcPr>
          <w:p w14:paraId="3092D8E6" w14:textId="77777777" w:rsidR="00551D41" w:rsidRPr="001F311B" w:rsidRDefault="00551D41" w:rsidP="002502A4">
            <w:pPr>
              <w:rPr>
                <w:color w:val="8064A2" w:themeColor="accent4"/>
              </w:rPr>
            </w:pPr>
          </w:p>
        </w:tc>
        <w:tc>
          <w:tcPr>
            <w:tcW w:w="684" w:type="pct"/>
          </w:tcPr>
          <w:p w14:paraId="0C97CEDE" w14:textId="77777777" w:rsidR="00551D41" w:rsidRPr="001F311B" w:rsidRDefault="00551D41" w:rsidP="002502A4">
            <w:pPr>
              <w:rPr>
                <w:color w:val="8064A2" w:themeColor="accent4"/>
              </w:rPr>
            </w:pPr>
          </w:p>
        </w:tc>
        <w:tc>
          <w:tcPr>
            <w:tcW w:w="716" w:type="pct"/>
          </w:tcPr>
          <w:p w14:paraId="36E7CFEC" w14:textId="77777777" w:rsidR="00551D41" w:rsidRPr="001F311B" w:rsidRDefault="00551D41" w:rsidP="002502A4">
            <w:pPr>
              <w:rPr>
                <w:color w:val="8064A2" w:themeColor="accent4"/>
              </w:rPr>
            </w:pPr>
          </w:p>
        </w:tc>
        <w:tc>
          <w:tcPr>
            <w:tcW w:w="1186" w:type="pct"/>
          </w:tcPr>
          <w:p w14:paraId="76207031" w14:textId="2C09A8DD" w:rsidR="00551D41" w:rsidRPr="00916828" w:rsidRDefault="002B59B2" w:rsidP="002502A4">
            <w:pPr>
              <w:jc w:val="center"/>
            </w:pPr>
            <w:r>
              <w:t>6</w:t>
            </w:r>
          </w:p>
        </w:tc>
      </w:tr>
      <w:tr w:rsidR="002B59B2" w14:paraId="0D552EE0" w14:textId="77777777" w:rsidTr="009C5461">
        <w:tc>
          <w:tcPr>
            <w:tcW w:w="1273" w:type="pct"/>
          </w:tcPr>
          <w:p w14:paraId="7BF6D0AB" w14:textId="265C7CCD" w:rsidR="002B59B2" w:rsidRDefault="002B59B2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[Dishwasher B]</w:t>
            </w:r>
          </w:p>
        </w:tc>
        <w:tc>
          <w:tcPr>
            <w:tcW w:w="1141" w:type="pct"/>
          </w:tcPr>
          <w:p w14:paraId="46B03711" w14:textId="77777777" w:rsidR="002B59B2" w:rsidRPr="001F311B" w:rsidRDefault="002B59B2" w:rsidP="002502A4">
            <w:pPr>
              <w:rPr>
                <w:color w:val="8064A2" w:themeColor="accent4"/>
              </w:rPr>
            </w:pPr>
          </w:p>
        </w:tc>
        <w:tc>
          <w:tcPr>
            <w:tcW w:w="684" w:type="pct"/>
          </w:tcPr>
          <w:p w14:paraId="713D6642" w14:textId="77777777" w:rsidR="002B59B2" w:rsidRPr="001F311B" w:rsidRDefault="002B59B2" w:rsidP="002502A4">
            <w:pPr>
              <w:rPr>
                <w:color w:val="8064A2" w:themeColor="accent4"/>
              </w:rPr>
            </w:pPr>
          </w:p>
        </w:tc>
        <w:tc>
          <w:tcPr>
            <w:tcW w:w="716" w:type="pct"/>
          </w:tcPr>
          <w:p w14:paraId="5B88DF12" w14:textId="77777777" w:rsidR="002B59B2" w:rsidRPr="001F311B" w:rsidRDefault="002B59B2" w:rsidP="002502A4">
            <w:pPr>
              <w:rPr>
                <w:color w:val="8064A2" w:themeColor="accent4"/>
              </w:rPr>
            </w:pPr>
          </w:p>
        </w:tc>
        <w:tc>
          <w:tcPr>
            <w:tcW w:w="1186" w:type="pct"/>
          </w:tcPr>
          <w:p w14:paraId="2CE2A15D" w14:textId="5E70E4E2" w:rsidR="002B59B2" w:rsidRPr="00916828" w:rsidRDefault="002B59B2" w:rsidP="002502A4">
            <w:pPr>
              <w:jc w:val="center"/>
            </w:pPr>
            <w:r>
              <w:t>6</w:t>
            </w:r>
          </w:p>
        </w:tc>
      </w:tr>
      <w:tr w:rsidR="002B59B2" w14:paraId="4984F6E7" w14:textId="77777777" w:rsidTr="009C5461">
        <w:tc>
          <w:tcPr>
            <w:tcW w:w="1273" w:type="pct"/>
          </w:tcPr>
          <w:p w14:paraId="0AF6FCE9" w14:textId="2F080EC8" w:rsidR="002B59B2" w:rsidRDefault="002B59B2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 xml:space="preserve">[Washing </w:t>
            </w:r>
            <w:proofErr w:type="gramStart"/>
            <w:r>
              <w:rPr>
                <w:color w:val="8064A2" w:themeColor="accent4"/>
              </w:rPr>
              <w:t>machine</w:t>
            </w:r>
            <w:proofErr w:type="gramEnd"/>
            <w:r>
              <w:rPr>
                <w:color w:val="8064A2" w:themeColor="accent4"/>
              </w:rPr>
              <w:t xml:space="preserve"> A]</w:t>
            </w:r>
          </w:p>
        </w:tc>
        <w:tc>
          <w:tcPr>
            <w:tcW w:w="1141" w:type="pct"/>
          </w:tcPr>
          <w:p w14:paraId="405137E8" w14:textId="77777777" w:rsidR="002B59B2" w:rsidRPr="001F311B" w:rsidRDefault="002B59B2" w:rsidP="002502A4">
            <w:pPr>
              <w:rPr>
                <w:color w:val="8064A2" w:themeColor="accent4"/>
              </w:rPr>
            </w:pPr>
          </w:p>
        </w:tc>
        <w:tc>
          <w:tcPr>
            <w:tcW w:w="684" w:type="pct"/>
          </w:tcPr>
          <w:p w14:paraId="06DAA124" w14:textId="77777777" w:rsidR="002B59B2" w:rsidRPr="001F311B" w:rsidRDefault="002B59B2" w:rsidP="002502A4">
            <w:pPr>
              <w:rPr>
                <w:color w:val="8064A2" w:themeColor="accent4"/>
              </w:rPr>
            </w:pPr>
          </w:p>
        </w:tc>
        <w:tc>
          <w:tcPr>
            <w:tcW w:w="716" w:type="pct"/>
          </w:tcPr>
          <w:p w14:paraId="0C649E19" w14:textId="77777777" w:rsidR="002B59B2" w:rsidRPr="001F311B" w:rsidRDefault="002B59B2" w:rsidP="002502A4">
            <w:pPr>
              <w:rPr>
                <w:color w:val="8064A2" w:themeColor="accent4"/>
              </w:rPr>
            </w:pPr>
          </w:p>
        </w:tc>
        <w:tc>
          <w:tcPr>
            <w:tcW w:w="1186" w:type="pct"/>
          </w:tcPr>
          <w:p w14:paraId="0B11EB85" w14:textId="3B9D63D0" w:rsidR="002B59B2" w:rsidRPr="00916828" w:rsidRDefault="002B59B2" w:rsidP="002502A4">
            <w:pPr>
              <w:jc w:val="center"/>
            </w:pPr>
            <w:r>
              <w:t>5</w:t>
            </w:r>
          </w:p>
        </w:tc>
      </w:tr>
      <w:tr w:rsidR="00551D41" w14:paraId="25FA349B" w14:textId="77777777" w:rsidTr="009C5461">
        <w:tc>
          <w:tcPr>
            <w:tcW w:w="1273" w:type="pct"/>
          </w:tcPr>
          <w:p w14:paraId="3544C72B" w14:textId="22FF6A4A" w:rsidR="00551D41" w:rsidRDefault="002B59B2" w:rsidP="00BF39A6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="00551D41">
              <w:rPr>
                <w:color w:val="8064A2" w:themeColor="accent4"/>
              </w:rPr>
              <w:t>Washing machine</w:t>
            </w:r>
            <w:r>
              <w:rPr>
                <w:color w:val="8064A2" w:themeColor="accent4"/>
              </w:rPr>
              <w:t xml:space="preserve"> B]</w:t>
            </w:r>
          </w:p>
        </w:tc>
        <w:tc>
          <w:tcPr>
            <w:tcW w:w="1141" w:type="pct"/>
          </w:tcPr>
          <w:p w14:paraId="2A99878D" w14:textId="77777777" w:rsidR="00551D41" w:rsidRPr="001F311B" w:rsidRDefault="00551D41" w:rsidP="002502A4">
            <w:pPr>
              <w:rPr>
                <w:color w:val="8064A2" w:themeColor="accent4"/>
              </w:rPr>
            </w:pPr>
          </w:p>
        </w:tc>
        <w:tc>
          <w:tcPr>
            <w:tcW w:w="684" w:type="pct"/>
          </w:tcPr>
          <w:p w14:paraId="5EF1F846" w14:textId="77777777" w:rsidR="00551D41" w:rsidRPr="001F311B" w:rsidRDefault="00551D41" w:rsidP="002502A4">
            <w:pPr>
              <w:rPr>
                <w:color w:val="8064A2" w:themeColor="accent4"/>
              </w:rPr>
            </w:pPr>
          </w:p>
        </w:tc>
        <w:tc>
          <w:tcPr>
            <w:tcW w:w="716" w:type="pct"/>
          </w:tcPr>
          <w:p w14:paraId="03CE7D49" w14:textId="77777777" w:rsidR="00551D41" w:rsidRPr="001F311B" w:rsidRDefault="00551D41" w:rsidP="002502A4">
            <w:pPr>
              <w:rPr>
                <w:color w:val="8064A2" w:themeColor="accent4"/>
              </w:rPr>
            </w:pPr>
          </w:p>
        </w:tc>
        <w:tc>
          <w:tcPr>
            <w:tcW w:w="1186" w:type="pct"/>
          </w:tcPr>
          <w:p w14:paraId="23A9038E" w14:textId="200AEE9E" w:rsidR="00551D41" w:rsidRPr="00916828" w:rsidRDefault="002B59B2" w:rsidP="002502A4">
            <w:pPr>
              <w:jc w:val="center"/>
            </w:pPr>
            <w:r>
              <w:t>5</w:t>
            </w:r>
          </w:p>
        </w:tc>
      </w:tr>
    </w:tbl>
    <w:p w14:paraId="2E1BCB08" w14:textId="31BD5B92" w:rsidR="001A6E9F" w:rsidRDefault="001A6E9F" w:rsidP="002B59B2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4159D904" w14:textId="77777777" w:rsidR="002B59B2" w:rsidRPr="00F44703" w:rsidRDefault="002B59B2" w:rsidP="002B59B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B59B2" w14:paraId="2F91BDEE" w14:textId="77777777" w:rsidTr="0092070F">
        <w:tc>
          <w:tcPr>
            <w:tcW w:w="6912" w:type="dxa"/>
            <w:shd w:val="clear" w:color="auto" w:fill="FFE69D"/>
          </w:tcPr>
          <w:p w14:paraId="2EE73C88" w14:textId="77777777" w:rsidR="002B59B2" w:rsidRPr="00F44703" w:rsidRDefault="002B59B2" w:rsidP="0092070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809EB38" w14:textId="77777777" w:rsidR="002B59B2" w:rsidRPr="00F44703" w:rsidRDefault="002B59B2" w:rsidP="0092070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B59B2" w14:paraId="69D3EE20" w14:textId="77777777" w:rsidTr="0092070F">
        <w:tc>
          <w:tcPr>
            <w:tcW w:w="6912" w:type="dxa"/>
          </w:tcPr>
          <w:p w14:paraId="05300D3C" w14:textId="77777777" w:rsidR="002B59B2" w:rsidRDefault="002B59B2" w:rsidP="0092070F">
            <w:pPr>
              <w:pStyle w:val="Bluetext"/>
              <w:rPr>
                <w:szCs w:val="20"/>
              </w:rPr>
            </w:pPr>
            <w:r w:rsidRPr="001A76C9">
              <w:lastRenderedPageBreak/>
              <w:t>[####]</w:t>
            </w:r>
          </w:p>
        </w:tc>
        <w:tc>
          <w:tcPr>
            <w:tcW w:w="2331" w:type="dxa"/>
          </w:tcPr>
          <w:p w14:paraId="1F786C00" w14:textId="77777777" w:rsidR="002B59B2" w:rsidRDefault="002B59B2" w:rsidP="0092070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B59B2" w14:paraId="58989556" w14:textId="77777777" w:rsidTr="0092070F">
        <w:tc>
          <w:tcPr>
            <w:tcW w:w="6912" w:type="dxa"/>
          </w:tcPr>
          <w:p w14:paraId="02632F53" w14:textId="77777777" w:rsidR="002B59B2" w:rsidRPr="001A76C9" w:rsidRDefault="002B59B2" w:rsidP="0092070F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321B33A2" w14:textId="77777777" w:rsidR="002B59B2" w:rsidRPr="001A76C9" w:rsidRDefault="002B59B2" w:rsidP="0092070F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158F9A13" w14:textId="77777777" w:rsidR="002F62FD" w:rsidRDefault="002F62FD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4EDDF62E" w14:textId="4B87031F" w:rsidR="005C2F1A" w:rsidRDefault="00931C35" w:rsidP="00931C35">
      <w:pPr>
        <w:pStyle w:val="Criterionsubheading"/>
        <w:numPr>
          <w:ilvl w:val="0"/>
          <w:numId w:val="0"/>
        </w:numPr>
        <w:ind w:left="360" w:hanging="360"/>
      </w:pPr>
      <w:r>
        <w:lastRenderedPageBreak/>
        <w:t>18B.</w:t>
      </w:r>
      <w:r w:rsidR="00F564E2">
        <w:t>3</w:t>
      </w:r>
      <w:r>
        <w:t xml:space="preserve"> </w:t>
      </w:r>
      <w:r w:rsidR="00722F22">
        <w:t>Commercial or Industrial Appliances</w:t>
      </w:r>
    </w:p>
    <w:p w14:paraId="5CDE7EB6" w14:textId="77777777" w:rsidR="002B59B2" w:rsidRDefault="002B59B2" w:rsidP="002B59B2">
      <w:r>
        <w:t>Please select one of the following options: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2B59B2" w14:paraId="5AE680F4" w14:textId="77777777" w:rsidTr="0092070F">
        <w:tc>
          <w:tcPr>
            <w:tcW w:w="3994" w:type="pct"/>
            <w:vAlign w:val="center"/>
          </w:tcPr>
          <w:p w14:paraId="5EB0044D" w14:textId="02317196" w:rsidR="002B59B2" w:rsidRPr="003A2BE3" w:rsidRDefault="002B59B2" w:rsidP="00BF39A6">
            <w:r>
              <w:t xml:space="preserve">The project is specifying the commercial or industrial appliances listed in the table below which will contribute to reductions in potable water demand. These fixtures and fittings </w:t>
            </w:r>
            <w:r w:rsidRPr="006022EE">
              <w:t xml:space="preserve">are all rated within </w:t>
            </w:r>
            <w:r>
              <w:t>one</w:t>
            </w:r>
            <w:r w:rsidRPr="006022EE">
              <w:t xml:space="preserve"> s</w:t>
            </w:r>
            <w:r>
              <w:t xml:space="preserve">tar of the </w:t>
            </w:r>
            <w:r w:rsidR="006004F1">
              <w:t xml:space="preserve">highest available </w:t>
            </w:r>
            <w:r>
              <w:t>WELS rating</w:t>
            </w:r>
            <w:r w:rsidR="006004F1">
              <w:t xml:space="preserve"> or are 20% more </w:t>
            </w:r>
            <w:r w:rsidR="006004F1" w:rsidRPr="0092070F">
              <w:t xml:space="preserve">efficient than comparable </w:t>
            </w:r>
            <w:proofErr w:type="gramStart"/>
            <w:r w:rsidR="006004F1" w:rsidRPr="0092070F">
              <w:t>equipment</w:t>
            </w:r>
            <w:r w:rsidR="00733E7D">
              <w:t>, or</w:t>
            </w:r>
            <w:proofErr w:type="gramEnd"/>
            <w:r w:rsidR="00733E7D">
              <w:t xml:space="preserve"> has a current Smart Approved Watermark.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00723493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77879873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21A1E54D" w14:textId="77777777" w:rsidR="002B59B2" w:rsidRPr="003A2BE3" w:rsidRDefault="002B59B2" w:rsidP="0092070F">
                    <w:pPr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2B59B2" w14:paraId="3E619DEE" w14:textId="77777777" w:rsidTr="0092070F">
        <w:tc>
          <w:tcPr>
            <w:tcW w:w="3994" w:type="pct"/>
            <w:vAlign w:val="center"/>
          </w:tcPr>
          <w:p w14:paraId="57EE0381" w14:textId="0DB9A021" w:rsidR="002B59B2" w:rsidRPr="003A2BE3" w:rsidRDefault="002B59B2" w:rsidP="001A6E9F">
            <w:r>
              <w:t>N</w:t>
            </w:r>
            <w:r w:rsidRPr="005D2E49">
              <w:t xml:space="preserve">o </w:t>
            </w:r>
            <w:r>
              <w:t xml:space="preserve">commercial or industrial appliances </w:t>
            </w:r>
            <w:r w:rsidRPr="005D2E49">
              <w:t>are</w:t>
            </w:r>
            <w:r>
              <w:t xml:space="preserve"> being</w:t>
            </w:r>
            <w:r w:rsidRPr="005D2E49">
              <w:t xml:space="preserve"> installed</w:t>
            </w:r>
            <w:r>
              <w:t xml:space="preserve"> in the project and </w:t>
            </w:r>
            <w:r w:rsidRPr="005D2E49">
              <w:t>this criterion is</w:t>
            </w:r>
            <w:r>
              <w:t xml:space="preserve"> </w:t>
            </w:r>
            <w:r w:rsidRPr="005D2E49">
              <w:t>‘Not Applicable’.</w:t>
            </w:r>
            <w:r>
              <w:t xml:space="preserve"> </w:t>
            </w:r>
            <w:r w:rsidR="00BF39A6">
              <w:t>No further information is required.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41465837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207542263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61095729" w14:textId="77777777" w:rsidR="002B59B2" w:rsidRPr="003A2BE3" w:rsidRDefault="002B59B2" w:rsidP="0092070F">
                    <w:pPr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023F0EAB" w14:textId="77777777" w:rsidR="00BF39A6" w:rsidRDefault="00BF39A6" w:rsidP="00BF39A6"/>
    <w:p w14:paraId="42195EF3" w14:textId="632B0495" w:rsidR="00BF39A6" w:rsidRDefault="00BF39A6" w:rsidP="00BF39A6">
      <w:r>
        <w:t>List of compliant commercial or industrial appliances being specified in the project: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2354"/>
        <w:gridCol w:w="2109"/>
        <w:gridCol w:w="1264"/>
        <w:gridCol w:w="1324"/>
        <w:gridCol w:w="2192"/>
      </w:tblGrid>
      <w:tr w:rsidR="00F54FF2" w14:paraId="7E0DE7E2" w14:textId="77777777" w:rsidTr="00935B2E">
        <w:tc>
          <w:tcPr>
            <w:tcW w:w="1273" w:type="pct"/>
            <w:shd w:val="clear" w:color="auto" w:fill="FFE69E" w:themeFill="text1" w:themeFillTint="66"/>
            <w:vAlign w:val="center"/>
          </w:tcPr>
          <w:p w14:paraId="30F03590" w14:textId="77777777" w:rsidR="00F54FF2" w:rsidRPr="009D4708" w:rsidRDefault="00F54FF2" w:rsidP="00BF39A6">
            <w:pPr>
              <w:rPr>
                <w:b/>
              </w:rPr>
            </w:pPr>
            <w:r w:rsidRPr="009D4708">
              <w:rPr>
                <w:b/>
              </w:rPr>
              <w:t>Item</w:t>
            </w:r>
          </w:p>
        </w:tc>
        <w:tc>
          <w:tcPr>
            <w:tcW w:w="1141" w:type="pct"/>
            <w:shd w:val="clear" w:color="auto" w:fill="FFE69E" w:themeFill="text1" w:themeFillTint="66"/>
            <w:vAlign w:val="center"/>
          </w:tcPr>
          <w:p w14:paraId="0A43B4ED" w14:textId="5A1435FC" w:rsidR="00F54FF2" w:rsidRPr="009D4708" w:rsidRDefault="00F54FF2">
            <w:pPr>
              <w:rPr>
                <w:b/>
              </w:rPr>
            </w:pPr>
            <w:r w:rsidRPr="009D4708">
              <w:rPr>
                <w:b/>
              </w:rPr>
              <w:t xml:space="preserve">Schedule </w:t>
            </w:r>
            <w:r>
              <w:rPr>
                <w:b/>
              </w:rPr>
              <w:t>Reference</w:t>
            </w:r>
          </w:p>
        </w:tc>
        <w:tc>
          <w:tcPr>
            <w:tcW w:w="684" w:type="pct"/>
            <w:shd w:val="clear" w:color="auto" w:fill="FFE69E" w:themeFill="text1" w:themeFillTint="66"/>
            <w:vAlign w:val="center"/>
          </w:tcPr>
          <w:p w14:paraId="628092E1" w14:textId="77777777" w:rsidR="00F54FF2" w:rsidRPr="009D4708" w:rsidRDefault="00F54FF2">
            <w:pPr>
              <w:rPr>
                <w:b/>
              </w:rPr>
            </w:pPr>
            <w:r w:rsidRPr="009D4708">
              <w:rPr>
                <w:b/>
              </w:rPr>
              <w:t xml:space="preserve">WELS </w:t>
            </w:r>
          </w:p>
          <w:p w14:paraId="798FB713" w14:textId="5F132B41" w:rsidR="00F54FF2" w:rsidRPr="009D4708" w:rsidRDefault="00F54FF2" w:rsidP="00733E7D">
            <w:pPr>
              <w:rPr>
                <w:b/>
              </w:rPr>
            </w:pPr>
            <w:r w:rsidRPr="009D4708">
              <w:rPr>
                <w:b/>
              </w:rPr>
              <w:t>Rating</w:t>
            </w:r>
            <w:r w:rsidR="00733E7D">
              <w:rPr>
                <w:b/>
              </w:rPr>
              <w:t>,</w:t>
            </w:r>
            <w:r>
              <w:rPr>
                <w:b/>
              </w:rPr>
              <w:t xml:space="preserve"> flow rate</w:t>
            </w:r>
            <w:r w:rsidR="00733E7D">
              <w:rPr>
                <w:b/>
              </w:rPr>
              <w:t xml:space="preserve"> or </w:t>
            </w:r>
            <w:r w:rsidR="00733E7D" w:rsidRPr="00733E7D">
              <w:rPr>
                <w:b/>
              </w:rPr>
              <w:t>Smart Approved Watermark</w:t>
            </w:r>
          </w:p>
        </w:tc>
        <w:tc>
          <w:tcPr>
            <w:tcW w:w="716" w:type="pct"/>
            <w:shd w:val="clear" w:color="auto" w:fill="FFE69E" w:themeFill="text1" w:themeFillTint="66"/>
            <w:vAlign w:val="center"/>
          </w:tcPr>
          <w:p w14:paraId="4CECBFC7" w14:textId="77777777" w:rsidR="00F54FF2" w:rsidRPr="009D4708" w:rsidRDefault="00F54FF2">
            <w:pPr>
              <w:rPr>
                <w:b/>
              </w:rPr>
            </w:pPr>
            <w:r w:rsidRPr="009D4708">
              <w:rPr>
                <w:b/>
              </w:rPr>
              <w:t>Quantity of fixtures</w:t>
            </w:r>
          </w:p>
        </w:tc>
        <w:tc>
          <w:tcPr>
            <w:tcW w:w="1186" w:type="pct"/>
            <w:shd w:val="clear" w:color="auto" w:fill="FFE69E" w:themeFill="text1" w:themeFillTint="66"/>
            <w:vAlign w:val="center"/>
          </w:tcPr>
          <w:p w14:paraId="318608D7" w14:textId="6C95B1B1" w:rsidR="00F54FF2" w:rsidRPr="009D4708" w:rsidRDefault="00F54FF2">
            <w:pPr>
              <w:rPr>
                <w:b/>
              </w:rPr>
            </w:pPr>
            <w:r w:rsidRPr="009D4708">
              <w:rPr>
                <w:b/>
              </w:rPr>
              <w:t>Highest Available WELS Rating</w:t>
            </w:r>
            <w:r>
              <w:rPr>
                <w:b/>
              </w:rPr>
              <w:t xml:space="preserve"> or flow rate</w:t>
            </w:r>
          </w:p>
        </w:tc>
      </w:tr>
      <w:tr w:rsidR="00F54FF2" w14:paraId="00D77933" w14:textId="77777777" w:rsidTr="009C5461">
        <w:tc>
          <w:tcPr>
            <w:tcW w:w="1273" w:type="pct"/>
          </w:tcPr>
          <w:p w14:paraId="4E6EF74A" w14:textId="6E252D7C" w:rsidR="00F54FF2" w:rsidRDefault="006004F1" w:rsidP="00BF39A6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[Commercial d</w:t>
            </w:r>
            <w:r w:rsidR="00F54FF2">
              <w:rPr>
                <w:color w:val="8064A2" w:themeColor="accent4"/>
              </w:rPr>
              <w:t>ishwasher</w:t>
            </w:r>
            <w:r>
              <w:rPr>
                <w:color w:val="8064A2" w:themeColor="accent4"/>
              </w:rPr>
              <w:t>]</w:t>
            </w:r>
          </w:p>
        </w:tc>
        <w:tc>
          <w:tcPr>
            <w:tcW w:w="1141" w:type="pct"/>
          </w:tcPr>
          <w:p w14:paraId="1211BD68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684" w:type="pct"/>
          </w:tcPr>
          <w:p w14:paraId="4D9C0B5C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716" w:type="pct"/>
          </w:tcPr>
          <w:p w14:paraId="3E830E11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1186" w:type="pct"/>
          </w:tcPr>
          <w:p w14:paraId="44BF7AD1" w14:textId="45CEBEBF" w:rsidR="00F54FF2" w:rsidRPr="00916828" w:rsidRDefault="00F54FF2" w:rsidP="00AC3261">
            <w:pPr>
              <w:jc w:val="center"/>
            </w:pPr>
          </w:p>
        </w:tc>
      </w:tr>
      <w:tr w:rsidR="00F54FF2" w14:paraId="44D17DA2" w14:textId="77777777" w:rsidTr="009C5461">
        <w:tc>
          <w:tcPr>
            <w:tcW w:w="1273" w:type="pct"/>
          </w:tcPr>
          <w:p w14:paraId="655141C3" w14:textId="234ED85F" w:rsidR="00F54FF2" w:rsidRDefault="006004F1" w:rsidP="00BF39A6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[Commercial w</w:t>
            </w:r>
            <w:r w:rsidR="00F54FF2">
              <w:rPr>
                <w:color w:val="8064A2" w:themeColor="accent4"/>
              </w:rPr>
              <w:t>ashing machine</w:t>
            </w:r>
            <w:r>
              <w:rPr>
                <w:color w:val="8064A2" w:themeColor="accent4"/>
              </w:rPr>
              <w:t>]</w:t>
            </w:r>
          </w:p>
        </w:tc>
        <w:tc>
          <w:tcPr>
            <w:tcW w:w="1141" w:type="pct"/>
          </w:tcPr>
          <w:p w14:paraId="7954C46F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684" w:type="pct"/>
          </w:tcPr>
          <w:p w14:paraId="4400BF86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716" w:type="pct"/>
          </w:tcPr>
          <w:p w14:paraId="4C26AB70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1186" w:type="pct"/>
          </w:tcPr>
          <w:p w14:paraId="028BB5FE" w14:textId="2778915C" w:rsidR="00F54FF2" w:rsidRPr="00916828" w:rsidRDefault="00F54FF2" w:rsidP="00AC3261">
            <w:pPr>
              <w:jc w:val="center"/>
            </w:pPr>
          </w:p>
        </w:tc>
      </w:tr>
      <w:tr w:rsidR="00F54FF2" w14:paraId="494AB768" w14:textId="77777777" w:rsidTr="009C5461">
        <w:tc>
          <w:tcPr>
            <w:tcW w:w="1273" w:type="pct"/>
          </w:tcPr>
          <w:p w14:paraId="5FA975B0" w14:textId="0B0FDB1F" w:rsidR="00F54FF2" w:rsidRDefault="006004F1" w:rsidP="00AC326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="00F54FF2">
              <w:rPr>
                <w:color w:val="8064A2" w:themeColor="accent4"/>
              </w:rPr>
              <w:t>Other</w:t>
            </w:r>
            <w:r>
              <w:rPr>
                <w:color w:val="8064A2" w:themeColor="accent4"/>
              </w:rPr>
              <w:t>]</w:t>
            </w:r>
          </w:p>
        </w:tc>
        <w:tc>
          <w:tcPr>
            <w:tcW w:w="1141" w:type="pct"/>
          </w:tcPr>
          <w:p w14:paraId="0314D5FB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684" w:type="pct"/>
          </w:tcPr>
          <w:p w14:paraId="5161A705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716" w:type="pct"/>
          </w:tcPr>
          <w:p w14:paraId="2A51446F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1186" w:type="pct"/>
          </w:tcPr>
          <w:p w14:paraId="0ABB2A19" w14:textId="77777777" w:rsidR="00F54FF2" w:rsidRPr="00916828" w:rsidRDefault="00F54FF2" w:rsidP="00AC3261">
            <w:pPr>
              <w:jc w:val="center"/>
            </w:pPr>
          </w:p>
        </w:tc>
      </w:tr>
    </w:tbl>
    <w:p w14:paraId="482266E6" w14:textId="5AAE6C27" w:rsidR="00BF39A6" w:rsidRDefault="001A6E9F" w:rsidP="006004F1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114564CF" w14:textId="77777777" w:rsidR="006004F1" w:rsidRPr="00F44703" w:rsidRDefault="006004F1" w:rsidP="006004F1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6004F1" w14:paraId="3A0AF2AB" w14:textId="77777777" w:rsidTr="0092070F">
        <w:tc>
          <w:tcPr>
            <w:tcW w:w="6912" w:type="dxa"/>
            <w:shd w:val="clear" w:color="auto" w:fill="FFE69D"/>
          </w:tcPr>
          <w:p w14:paraId="2E391DD6" w14:textId="77777777" w:rsidR="006004F1" w:rsidRPr="00F44703" w:rsidRDefault="006004F1" w:rsidP="0092070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03A5CE7" w14:textId="77777777" w:rsidR="006004F1" w:rsidRPr="00F44703" w:rsidRDefault="006004F1" w:rsidP="0092070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6004F1" w14:paraId="5B8B96BD" w14:textId="77777777" w:rsidTr="0092070F">
        <w:tc>
          <w:tcPr>
            <w:tcW w:w="6912" w:type="dxa"/>
          </w:tcPr>
          <w:p w14:paraId="510C6169" w14:textId="77777777" w:rsidR="006004F1" w:rsidRDefault="006004F1" w:rsidP="0092070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301EA6F" w14:textId="77777777" w:rsidR="006004F1" w:rsidRDefault="006004F1" w:rsidP="0092070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004F1" w14:paraId="48DC44ED" w14:textId="77777777" w:rsidTr="0092070F">
        <w:tc>
          <w:tcPr>
            <w:tcW w:w="6912" w:type="dxa"/>
          </w:tcPr>
          <w:p w14:paraId="1522B884" w14:textId="77777777" w:rsidR="006004F1" w:rsidRPr="001A76C9" w:rsidRDefault="006004F1" w:rsidP="0092070F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700D49FC" w14:textId="77777777" w:rsidR="006004F1" w:rsidRPr="001A76C9" w:rsidRDefault="006004F1" w:rsidP="0092070F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BB85333" w14:textId="77777777" w:rsidR="006004F1" w:rsidRDefault="006004F1" w:rsidP="00931C35">
      <w:pPr>
        <w:pStyle w:val="Criterionsubheading"/>
        <w:numPr>
          <w:ilvl w:val="0"/>
          <w:numId w:val="0"/>
        </w:numPr>
        <w:ind w:left="360" w:hanging="360"/>
        <w:rPr>
          <w:szCs w:val="20"/>
        </w:rPr>
      </w:pPr>
    </w:p>
    <w:p w14:paraId="63660BA1" w14:textId="77777777" w:rsidR="006004F1" w:rsidRDefault="006004F1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20"/>
        </w:rPr>
      </w:pPr>
      <w:r>
        <w:rPr>
          <w:szCs w:val="20"/>
        </w:rPr>
        <w:br w:type="page"/>
      </w:r>
    </w:p>
    <w:p w14:paraId="5233CB1D" w14:textId="41168E43" w:rsidR="005C2F1A" w:rsidRDefault="00931C35" w:rsidP="00931C35">
      <w:pPr>
        <w:pStyle w:val="Criterionsubheading"/>
        <w:numPr>
          <w:ilvl w:val="0"/>
          <w:numId w:val="0"/>
        </w:numPr>
        <w:ind w:left="360" w:hanging="360"/>
      </w:pPr>
      <w:r>
        <w:lastRenderedPageBreak/>
        <w:t>18B.</w:t>
      </w:r>
      <w:r w:rsidR="00F564E2">
        <w:t>4</w:t>
      </w:r>
      <w:r>
        <w:t xml:space="preserve"> </w:t>
      </w:r>
      <w:r w:rsidR="00F54FF2">
        <w:t>Shared Amenities</w:t>
      </w:r>
    </w:p>
    <w:p w14:paraId="0FBE3D5F" w14:textId="053803F5" w:rsidR="00BF39A6" w:rsidRDefault="00BF39A6" w:rsidP="00BF39A6">
      <w:r>
        <w:t>Please select one of the following options and complete the relevant section that follows: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13"/>
        <w:gridCol w:w="1730"/>
      </w:tblGrid>
      <w:tr w:rsidR="00F564E2" w:rsidRPr="00F32977" w14:paraId="1D43FE83" w14:textId="77777777" w:rsidTr="002502A4">
        <w:tc>
          <w:tcPr>
            <w:tcW w:w="4064" w:type="pct"/>
            <w:vAlign w:val="center"/>
          </w:tcPr>
          <w:p w14:paraId="4B446DEE" w14:textId="0E24F4ED" w:rsidR="00F564E2" w:rsidRPr="00F32977" w:rsidRDefault="00F564E2" w:rsidP="00935B2E">
            <w:pPr>
              <w:rPr>
                <w:rFonts w:eastAsia="Calibri"/>
                <w:spacing w:val="6"/>
              </w:rPr>
            </w:pPr>
            <w:r>
              <w:t xml:space="preserve">The </w:t>
            </w:r>
            <w:r w:rsidR="00BF39A6">
              <w:t xml:space="preserve">base </w:t>
            </w:r>
            <w:r>
              <w:t xml:space="preserve">building has been awarded at least </w:t>
            </w:r>
            <w:r w:rsidR="00BF39A6">
              <w:t>three (</w:t>
            </w:r>
            <w:r>
              <w:t>3</w:t>
            </w:r>
            <w:r w:rsidR="00BF39A6">
              <w:t>)</w:t>
            </w:r>
            <w:r>
              <w:t xml:space="preserve"> points in the </w:t>
            </w:r>
            <w:r w:rsidR="006004F1">
              <w:t>‘</w:t>
            </w:r>
            <w:r>
              <w:t>Water</w:t>
            </w:r>
            <w:r w:rsidR="006004F1">
              <w:t>’</w:t>
            </w:r>
            <w:r>
              <w:t xml:space="preserve"> </w:t>
            </w:r>
            <w:r w:rsidR="006004F1">
              <w:t>c</w:t>
            </w:r>
            <w:r>
              <w:t>ategory as determined through a certified Green Star rating.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455716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3A0E51" w14:textId="77777777" w:rsidR="00F564E2" w:rsidRPr="00F32977" w:rsidRDefault="00F564E2" w:rsidP="00BF39A6">
                <w:pPr>
                  <w:jc w:val="center"/>
                  <w:rPr>
                    <w:rFonts w:eastAsia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F564E2" w:rsidRPr="00F32977" w14:paraId="4A46A8FE" w14:textId="77777777" w:rsidTr="002502A4">
        <w:tc>
          <w:tcPr>
            <w:tcW w:w="4064" w:type="pct"/>
            <w:vAlign w:val="center"/>
          </w:tcPr>
          <w:p w14:paraId="271F5C14" w14:textId="11773968" w:rsidR="00F564E2" w:rsidRPr="00F32977" w:rsidRDefault="00F564E2" w:rsidP="00BF39A6">
            <w:r>
              <w:t xml:space="preserve">The building has shared amenities that comply with the requirements of </w:t>
            </w:r>
            <w:r w:rsidR="00BF39A6">
              <w:t>T</w:t>
            </w:r>
            <w:r>
              <w:t>able</w:t>
            </w:r>
            <w:r w:rsidR="00BF39A6">
              <w:t xml:space="preserve"> 18B.2</w:t>
            </w:r>
            <w:r>
              <w:t xml:space="preserve"> in this credit</w:t>
            </w:r>
            <w:r w:rsidR="00BF39A6">
              <w:t>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331501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1C35BE" w14:textId="77777777" w:rsidR="00F564E2" w:rsidRPr="00F32977" w:rsidRDefault="00F564E2" w:rsidP="00BF39A6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43C713A6" w14:textId="77777777" w:rsidR="00AB4A0F" w:rsidRDefault="00AB4A0F" w:rsidP="00F564E2"/>
    <w:p w14:paraId="5A26DE4A" w14:textId="25E20CF2" w:rsidR="00F564E2" w:rsidRDefault="00F564E2" w:rsidP="00F564E2">
      <w:r>
        <w:t xml:space="preserve">The building has been awarded at least </w:t>
      </w:r>
      <w:r w:rsidR="00BF39A6">
        <w:t>three (</w:t>
      </w:r>
      <w:r>
        <w:t>3</w:t>
      </w:r>
      <w:r w:rsidR="00BF39A6">
        <w:t>)</w:t>
      </w:r>
      <w:r>
        <w:t xml:space="preserve"> points in the </w:t>
      </w:r>
      <w:r w:rsidR="00BF39A6">
        <w:t>‘</w:t>
      </w:r>
      <w:r>
        <w:t>Water</w:t>
      </w:r>
      <w:r w:rsidR="00BF39A6">
        <w:t>’</w:t>
      </w:r>
      <w:r>
        <w:t xml:space="preserve"> </w:t>
      </w:r>
      <w:r w:rsidR="00BF39A6">
        <w:t>c</w:t>
      </w:r>
      <w:r>
        <w:t>ategory as determined through a certified Green Star rating.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BF39A6" w14:paraId="42A42096" w14:textId="77777777" w:rsidTr="0092070F">
        <w:tc>
          <w:tcPr>
            <w:tcW w:w="6912" w:type="dxa"/>
            <w:shd w:val="clear" w:color="auto" w:fill="FFE69D"/>
          </w:tcPr>
          <w:p w14:paraId="3FB5FC87" w14:textId="77777777" w:rsidR="00BF39A6" w:rsidRPr="00F44703" w:rsidRDefault="00BF39A6" w:rsidP="0092070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3A59724" w14:textId="77777777" w:rsidR="00BF39A6" w:rsidRPr="00F44703" w:rsidRDefault="00BF39A6" w:rsidP="0092070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BF39A6" w14:paraId="5DDA373C" w14:textId="77777777" w:rsidTr="0092070F">
        <w:tc>
          <w:tcPr>
            <w:tcW w:w="6912" w:type="dxa"/>
          </w:tcPr>
          <w:p w14:paraId="2D82F289" w14:textId="7F36CFE3" w:rsidR="00BF39A6" w:rsidRDefault="00BF39A6" w:rsidP="00BF39A6">
            <w:pPr>
              <w:pStyle w:val="Bluetext"/>
              <w:rPr>
                <w:szCs w:val="20"/>
              </w:rPr>
            </w:pPr>
            <w:r>
              <w:t>Results from the base building’s certified Green Star rating</w:t>
            </w:r>
          </w:p>
        </w:tc>
        <w:tc>
          <w:tcPr>
            <w:tcW w:w="2331" w:type="dxa"/>
          </w:tcPr>
          <w:p w14:paraId="139F35A8" w14:textId="77777777" w:rsidR="00BF39A6" w:rsidRDefault="00BF39A6" w:rsidP="0092070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A5BE3B9" w14:textId="77777777" w:rsidR="00BF39A6" w:rsidRDefault="00BF39A6">
      <w:pPr>
        <w:rPr>
          <w:szCs w:val="20"/>
        </w:rPr>
      </w:pPr>
    </w:p>
    <w:p w14:paraId="5949ED42" w14:textId="77777777" w:rsidR="00BF39A6" w:rsidRDefault="00BF39A6" w:rsidP="00935B2E">
      <w:pPr>
        <w:spacing w:before="0" w:after="0"/>
      </w:pPr>
    </w:p>
    <w:p w14:paraId="238B2201" w14:textId="278934C7" w:rsidR="00F564E2" w:rsidRPr="00EE6077" w:rsidRDefault="00BF39A6" w:rsidP="00935B2E">
      <w:pPr>
        <w:spacing w:before="0" w:after="0"/>
        <w:rPr>
          <w:szCs w:val="20"/>
        </w:rPr>
      </w:pPr>
      <w:r>
        <w:t>The building has shared amenities that comply with the requirements of Table 18B.2 in this credit.</w:t>
      </w:r>
      <w:r>
        <w:rPr>
          <w:szCs w:val="20"/>
        </w:rPr>
        <w:t xml:space="preserve"> </w:t>
      </w:r>
      <w:r w:rsidR="00F564E2" w:rsidRPr="00F32977">
        <w:rPr>
          <w:szCs w:val="20"/>
        </w:rPr>
        <w:t xml:space="preserve">Provide a description of </w:t>
      </w:r>
      <w:r w:rsidR="00F564E2">
        <w:rPr>
          <w:szCs w:val="20"/>
        </w:rPr>
        <w:t xml:space="preserve">the amenities available to the </w:t>
      </w:r>
      <w:proofErr w:type="spellStart"/>
      <w:r w:rsidR="00F564E2">
        <w:rPr>
          <w:szCs w:val="20"/>
        </w:rPr>
        <w:t>fitout</w:t>
      </w:r>
      <w:proofErr w:type="spellEnd"/>
      <w:r w:rsidR="00F564E2">
        <w:rPr>
          <w:szCs w:val="20"/>
        </w:rPr>
        <w:t xml:space="preserve"> occupants</w:t>
      </w:r>
      <w:r>
        <w:t>:</w:t>
      </w:r>
    </w:p>
    <w:p w14:paraId="2BA451BD" w14:textId="77777777" w:rsidR="00F564E2" w:rsidRPr="00F32977" w:rsidRDefault="00F564E2" w:rsidP="00F564E2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9E07D2D" w14:textId="77777777" w:rsidR="00F564E2" w:rsidRDefault="00F564E2" w:rsidP="00F564E2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41FED99" w14:textId="77777777" w:rsidR="00BF39A6" w:rsidRPr="00F32977" w:rsidRDefault="00BF39A6" w:rsidP="00F564E2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42F060F" w14:textId="77777777" w:rsidR="00F564E2" w:rsidRPr="00F32977" w:rsidRDefault="00F564E2" w:rsidP="00F564E2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B0837B3" w14:textId="77777777" w:rsidR="00F564E2" w:rsidRPr="00F32977" w:rsidRDefault="00F564E2" w:rsidP="00F564E2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B3B18EC" w14:textId="77777777" w:rsidR="00BF39A6" w:rsidRDefault="00BF39A6">
      <w:pPr>
        <w:spacing w:before="0" w:after="0" w:line="240" w:lineRule="auto"/>
      </w:pPr>
      <w:r>
        <w:br w:type="page"/>
      </w:r>
    </w:p>
    <w:p w14:paraId="5000F76C" w14:textId="55BA73A9" w:rsidR="00F564E2" w:rsidRPr="00AE36BE" w:rsidRDefault="00AB4A0F" w:rsidP="009C5461">
      <w:r w:rsidRPr="00AE36BE">
        <w:lastRenderedPageBreak/>
        <w:t>Provide a list of the compliant amenities</w:t>
      </w:r>
      <w:r w:rsidR="00BF39A6">
        <w:t>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637"/>
        <w:gridCol w:w="1184"/>
        <w:gridCol w:w="1494"/>
        <w:gridCol w:w="1860"/>
        <w:gridCol w:w="1536"/>
        <w:gridCol w:w="1532"/>
      </w:tblGrid>
      <w:tr w:rsidR="00AB4A0F" w14:paraId="2527DAB0" w14:textId="77777777" w:rsidTr="00935B2E">
        <w:tc>
          <w:tcPr>
            <w:tcW w:w="886" w:type="pct"/>
            <w:shd w:val="clear" w:color="auto" w:fill="FFE69E" w:themeFill="text1" w:themeFillTint="66"/>
          </w:tcPr>
          <w:p w14:paraId="2092196F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>Item</w:t>
            </w:r>
          </w:p>
        </w:tc>
        <w:tc>
          <w:tcPr>
            <w:tcW w:w="640" w:type="pct"/>
            <w:shd w:val="clear" w:color="auto" w:fill="FFE69E" w:themeFill="text1" w:themeFillTint="66"/>
          </w:tcPr>
          <w:p w14:paraId="1FE67332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 xml:space="preserve">Schedule </w:t>
            </w:r>
            <w:r>
              <w:rPr>
                <w:b/>
              </w:rPr>
              <w:t>Reference</w:t>
            </w:r>
          </w:p>
        </w:tc>
        <w:tc>
          <w:tcPr>
            <w:tcW w:w="808" w:type="pct"/>
            <w:shd w:val="clear" w:color="auto" w:fill="FFE69E" w:themeFill="text1" w:themeFillTint="66"/>
          </w:tcPr>
          <w:p w14:paraId="66DDFDA8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 xml:space="preserve">WELS </w:t>
            </w:r>
          </w:p>
          <w:p w14:paraId="6D591495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>Rating</w:t>
            </w:r>
          </w:p>
        </w:tc>
        <w:tc>
          <w:tcPr>
            <w:tcW w:w="1006" w:type="pct"/>
            <w:shd w:val="clear" w:color="auto" w:fill="FFE69E" w:themeFill="text1" w:themeFillTint="66"/>
          </w:tcPr>
          <w:p w14:paraId="0D779051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 xml:space="preserve">Flowrate </w:t>
            </w:r>
          </w:p>
          <w:p w14:paraId="3EE83464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>(L/min or L/flush)</w:t>
            </w:r>
          </w:p>
        </w:tc>
        <w:tc>
          <w:tcPr>
            <w:tcW w:w="831" w:type="pct"/>
            <w:shd w:val="clear" w:color="auto" w:fill="FFE69E" w:themeFill="text1" w:themeFillTint="66"/>
          </w:tcPr>
          <w:p w14:paraId="6D2EA64F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>Quantity of fixtures</w:t>
            </w:r>
          </w:p>
        </w:tc>
        <w:tc>
          <w:tcPr>
            <w:tcW w:w="829" w:type="pct"/>
            <w:shd w:val="clear" w:color="auto" w:fill="FFE69E" w:themeFill="text1" w:themeFillTint="66"/>
          </w:tcPr>
          <w:p w14:paraId="31AF1791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>Highest Available WELS Rating</w:t>
            </w:r>
          </w:p>
        </w:tc>
      </w:tr>
      <w:tr w:rsidR="00AB4A0F" w14:paraId="1C1AC69D" w14:textId="77777777" w:rsidTr="00BF39A6">
        <w:tc>
          <w:tcPr>
            <w:tcW w:w="886" w:type="pct"/>
          </w:tcPr>
          <w:p w14:paraId="04FD5095" w14:textId="77777777" w:rsidR="00AB4A0F" w:rsidRPr="008F71E8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A]</w:t>
            </w:r>
          </w:p>
        </w:tc>
        <w:tc>
          <w:tcPr>
            <w:tcW w:w="640" w:type="pct"/>
          </w:tcPr>
          <w:p w14:paraId="050911EA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4800F0CF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672314E1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47E4FA38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36600133" w14:textId="77777777" w:rsidR="00AB4A0F" w:rsidRPr="00916828" w:rsidRDefault="00AB4A0F" w:rsidP="002502A4">
            <w:pPr>
              <w:jc w:val="center"/>
            </w:pPr>
            <w:r w:rsidRPr="00916828">
              <w:t>5</w:t>
            </w:r>
          </w:p>
        </w:tc>
      </w:tr>
      <w:tr w:rsidR="00AB4A0F" w14:paraId="7A528AB6" w14:textId="77777777" w:rsidTr="00BF39A6">
        <w:tc>
          <w:tcPr>
            <w:tcW w:w="886" w:type="pct"/>
          </w:tcPr>
          <w:p w14:paraId="4A423AA5" w14:textId="77777777" w:rsidR="00AB4A0F" w:rsidRPr="008F71E8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B]</w:t>
            </w:r>
          </w:p>
        </w:tc>
        <w:tc>
          <w:tcPr>
            <w:tcW w:w="640" w:type="pct"/>
          </w:tcPr>
          <w:p w14:paraId="69D09BF6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02FC2C46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1F3B2F3B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3C8FADF2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6F1100A4" w14:textId="77777777" w:rsidR="00AB4A0F" w:rsidRPr="00916828" w:rsidRDefault="00AB4A0F" w:rsidP="002502A4">
            <w:pPr>
              <w:jc w:val="center"/>
            </w:pPr>
            <w:r w:rsidRPr="00916828">
              <w:t>5</w:t>
            </w:r>
          </w:p>
        </w:tc>
      </w:tr>
      <w:tr w:rsidR="00AB4A0F" w14:paraId="184E8C07" w14:textId="77777777" w:rsidTr="00BF39A6">
        <w:tc>
          <w:tcPr>
            <w:tcW w:w="886" w:type="pct"/>
          </w:tcPr>
          <w:p w14:paraId="4BA060FA" w14:textId="77777777" w:rsidR="00AB4A0F" w:rsidRPr="008F71E8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A]</w:t>
            </w:r>
          </w:p>
        </w:tc>
        <w:tc>
          <w:tcPr>
            <w:tcW w:w="640" w:type="pct"/>
          </w:tcPr>
          <w:p w14:paraId="62B53035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5C0755D7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20750B39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453C55AF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36AFFB75" w14:textId="77777777" w:rsidR="00AB4A0F" w:rsidRPr="00916828" w:rsidRDefault="00AB4A0F" w:rsidP="002502A4">
            <w:pPr>
              <w:jc w:val="center"/>
            </w:pPr>
            <w:r w:rsidRPr="00916828">
              <w:t>6</w:t>
            </w:r>
          </w:p>
        </w:tc>
      </w:tr>
      <w:tr w:rsidR="00AB4A0F" w14:paraId="0D2F9C4A" w14:textId="77777777" w:rsidTr="00BF39A6">
        <w:tc>
          <w:tcPr>
            <w:tcW w:w="886" w:type="pct"/>
          </w:tcPr>
          <w:p w14:paraId="185E97D3" w14:textId="77777777" w:rsidR="00AB4A0F" w:rsidRPr="008F71E8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B]</w:t>
            </w:r>
          </w:p>
        </w:tc>
        <w:tc>
          <w:tcPr>
            <w:tcW w:w="640" w:type="pct"/>
          </w:tcPr>
          <w:p w14:paraId="7FF344BA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32A093EC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5557A46B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1E4B74FD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4FD3D8C3" w14:textId="77777777" w:rsidR="00AB4A0F" w:rsidRPr="00916828" w:rsidRDefault="00AB4A0F" w:rsidP="002502A4">
            <w:pPr>
              <w:jc w:val="center"/>
            </w:pPr>
            <w:r w:rsidRPr="00916828">
              <w:t>6</w:t>
            </w:r>
          </w:p>
        </w:tc>
      </w:tr>
      <w:tr w:rsidR="00AB4A0F" w14:paraId="3705FC9C" w14:textId="77777777" w:rsidTr="00BF39A6">
        <w:tc>
          <w:tcPr>
            <w:tcW w:w="886" w:type="pct"/>
          </w:tcPr>
          <w:p w14:paraId="768B887D" w14:textId="77777777" w:rsidR="00AB4A0F" w:rsidRPr="008F71E8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A]</w:t>
            </w:r>
          </w:p>
        </w:tc>
        <w:tc>
          <w:tcPr>
            <w:tcW w:w="640" w:type="pct"/>
          </w:tcPr>
          <w:p w14:paraId="620019CC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38EA80A6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17563C78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625A8B1A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46975789" w14:textId="77777777" w:rsidR="00AB4A0F" w:rsidRPr="00916828" w:rsidRDefault="00AB4A0F" w:rsidP="002502A4">
            <w:pPr>
              <w:jc w:val="center"/>
            </w:pPr>
            <w:r w:rsidRPr="00916828">
              <w:t>3</w:t>
            </w:r>
          </w:p>
        </w:tc>
      </w:tr>
      <w:tr w:rsidR="00AB4A0F" w14:paraId="0A4F31DA" w14:textId="77777777" w:rsidTr="00BF39A6">
        <w:tc>
          <w:tcPr>
            <w:tcW w:w="886" w:type="pct"/>
          </w:tcPr>
          <w:p w14:paraId="7BB8BE57" w14:textId="77777777" w:rsidR="00AB4A0F" w:rsidRPr="008F71E8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B]</w:t>
            </w:r>
          </w:p>
        </w:tc>
        <w:tc>
          <w:tcPr>
            <w:tcW w:w="640" w:type="pct"/>
          </w:tcPr>
          <w:p w14:paraId="796B0F5B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1B390AB9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765D2E00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6FBAAB2F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67462D92" w14:textId="77777777" w:rsidR="00AB4A0F" w:rsidRPr="00916828" w:rsidRDefault="00AB4A0F" w:rsidP="002502A4">
            <w:pPr>
              <w:jc w:val="center"/>
            </w:pPr>
            <w:r w:rsidRPr="00916828">
              <w:t>3</w:t>
            </w:r>
          </w:p>
        </w:tc>
      </w:tr>
      <w:tr w:rsidR="00AB4A0F" w14:paraId="5B8D6F1A" w14:textId="77777777" w:rsidTr="00BF39A6">
        <w:tc>
          <w:tcPr>
            <w:tcW w:w="886" w:type="pct"/>
          </w:tcPr>
          <w:p w14:paraId="1B383CAF" w14:textId="77777777" w:rsidR="00AB4A0F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A]</w:t>
            </w:r>
          </w:p>
        </w:tc>
        <w:tc>
          <w:tcPr>
            <w:tcW w:w="640" w:type="pct"/>
          </w:tcPr>
          <w:p w14:paraId="577CB9CC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66F0B819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3BD393FD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3EE122E2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5E040700" w14:textId="77777777" w:rsidR="00AB4A0F" w:rsidRPr="00916828" w:rsidRDefault="00AB4A0F" w:rsidP="002502A4">
            <w:pPr>
              <w:jc w:val="center"/>
            </w:pPr>
            <w:r w:rsidRPr="00916828">
              <w:t>6</w:t>
            </w:r>
          </w:p>
        </w:tc>
      </w:tr>
      <w:tr w:rsidR="00AB4A0F" w14:paraId="048E3662" w14:textId="77777777" w:rsidTr="00BF39A6">
        <w:tc>
          <w:tcPr>
            <w:tcW w:w="886" w:type="pct"/>
          </w:tcPr>
          <w:p w14:paraId="5BEC2C0F" w14:textId="77777777" w:rsidR="00AB4A0F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B]</w:t>
            </w:r>
          </w:p>
        </w:tc>
        <w:tc>
          <w:tcPr>
            <w:tcW w:w="640" w:type="pct"/>
          </w:tcPr>
          <w:p w14:paraId="0E631FB5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0BC41795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7CC964C6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552C023B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145E667B" w14:textId="77777777" w:rsidR="00AB4A0F" w:rsidRPr="00916828" w:rsidRDefault="00AB4A0F" w:rsidP="002502A4">
            <w:pPr>
              <w:jc w:val="center"/>
            </w:pPr>
            <w:r w:rsidRPr="00916828">
              <w:t>6</w:t>
            </w:r>
          </w:p>
        </w:tc>
      </w:tr>
    </w:tbl>
    <w:p w14:paraId="707808AE" w14:textId="261F2786" w:rsidR="001A6E9F" w:rsidRDefault="001A6E9F" w:rsidP="00BF39A6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5A05546B" w14:textId="77777777" w:rsidR="00BF39A6" w:rsidRPr="00F44703" w:rsidRDefault="00BF39A6" w:rsidP="00BF39A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BF39A6" w14:paraId="754B2CCC" w14:textId="77777777" w:rsidTr="0092070F">
        <w:tc>
          <w:tcPr>
            <w:tcW w:w="6912" w:type="dxa"/>
            <w:shd w:val="clear" w:color="auto" w:fill="FFE69D"/>
          </w:tcPr>
          <w:p w14:paraId="19847A92" w14:textId="77777777" w:rsidR="00BF39A6" w:rsidRPr="00F44703" w:rsidRDefault="00BF39A6" w:rsidP="0092070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A5EE385" w14:textId="77777777" w:rsidR="00BF39A6" w:rsidRPr="00F44703" w:rsidRDefault="00BF39A6" w:rsidP="0092070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BF39A6" w14:paraId="2FEED593" w14:textId="77777777" w:rsidTr="0092070F">
        <w:tc>
          <w:tcPr>
            <w:tcW w:w="6912" w:type="dxa"/>
          </w:tcPr>
          <w:p w14:paraId="600272E3" w14:textId="77777777" w:rsidR="00BF39A6" w:rsidRDefault="00BF39A6" w:rsidP="0092070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8FE5424" w14:textId="77777777" w:rsidR="00BF39A6" w:rsidRDefault="00BF39A6" w:rsidP="0092070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F39A6" w14:paraId="2F09A4AE" w14:textId="77777777" w:rsidTr="0092070F">
        <w:tc>
          <w:tcPr>
            <w:tcW w:w="6912" w:type="dxa"/>
          </w:tcPr>
          <w:p w14:paraId="788442D6" w14:textId="77777777" w:rsidR="00BF39A6" w:rsidRPr="001A76C9" w:rsidRDefault="00BF39A6" w:rsidP="0092070F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0505152A" w14:textId="77777777" w:rsidR="00BF39A6" w:rsidRPr="001A76C9" w:rsidRDefault="00BF39A6" w:rsidP="0092070F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1FFF786F" w14:textId="77777777" w:rsidR="00BF39A6" w:rsidRDefault="00BF39A6" w:rsidP="00BF39A6">
      <w:pPr>
        <w:pStyle w:val="Criterionsubheading"/>
        <w:numPr>
          <w:ilvl w:val="0"/>
          <w:numId w:val="0"/>
        </w:numPr>
        <w:ind w:left="360" w:hanging="360"/>
        <w:rPr>
          <w:szCs w:val="20"/>
        </w:rPr>
      </w:pPr>
    </w:p>
    <w:p w14:paraId="17C8E7A8" w14:textId="77777777" w:rsidR="00BF39A6" w:rsidRDefault="00BF39A6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20"/>
        </w:rPr>
      </w:pPr>
      <w:r>
        <w:rPr>
          <w:szCs w:val="20"/>
        </w:rPr>
        <w:br w:type="page"/>
      </w:r>
    </w:p>
    <w:p w14:paraId="4D80ED0F" w14:textId="77777777" w:rsidR="006D2986" w:rsidRDefault="006D2986" w:rsidP="006D2986">
      <w:pPr>
        <w:pStyle w:val="Heading2"/>
      </w:pPr>
      <w:r w:rsidRPr="001C55B2">
        <w:lastRenderedPageBreak/>
        <w:t>DISCUSSION</w:t>
      </w:r>
    </w:p>
    <w:p w14:paraId="66132746" w14:textId="70D0A88A" w:rsidR="006D2986" w:rsidRPr="00F21995" w:rsidRDefault="006D2986" w:rsidP="006D2986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852F88">
        <w:rPr>
          <w:rFonts w:cstheme="minorHAnsi"/>
          <w:color w:val="auto"/>
        </w:rPr>
        <w:t xml:space="preserve">Certified Assessor(s). </w:t>
      </w:r>
    </w:p>
    <w:p w14:paraId="07D68592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BCEDD0C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A02F93D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2077DF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2333B04" w14:textId="77777777" w:rsidR="000C3552" w:rsidRDefault="000C3552" w:rsidP="006D2986">
      <w:pPr>
        <w:pStyle w:val="Heading2"/>
      </w:pPr>
    </w:p>
    <w:p w14:paraId="5BA37044" w14:textId="36310901" w:rsidR="006D2986" w:rsidRPr="001C55B2" w:rsidRDefault="006D2986" w:rsidP="006D2986">
      <w:pPr>
        <w:pStyle w:val="Heading2"/>
      </w:pPr>
      <w:r w:rsidRPr="001C55B2">
        <w:t>DECLARATION</w:t>
      </w:r>
    </w:p>
    <w:p w14:paraId="2816BAC5" w14:textId="77777777" w:rsidR="006D2986" w:rsidRDefault="006D2986" w:rsidP="006D2986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B07D7C9" w14:textId="77777777" w:rsidR="006D2986" w:rsidRDefault="006D2986" w:rsidP="006D2986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46EDE0AF" w14:textId="77777777" w:rsidR="006D2986" w:rsidRDefault="006D2986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ED168ED" w14:textId="77777777" w:rsidR="006D2986" w:rsidRDefault="006D2986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C75F8A4" w14:textId="77777777" w:rsidR="002934F9" w:rsidRDefault="002934F9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2B30D49" w14:textId="77777777" w:rsidR="006D2986" w:rsidRPr="008B4275" w:rsidRDefault="006D2986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A118469" w14:textId="77777777" w:rsidR="006D2986" w:rsidRDefault="006D2986" w:rsidP="006D2986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110D6695" w14:textId="6435678D" w:rsidR="00D144BE" w:rsidRDefault="006D2986" w:rsidP="001420DE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F556B" w14:textId="77777777" w:rsidR="001D62F3" w:rsidRDefault="001D62F3" w:rsidP="00991221">
      <w:pPr>
        <w:spacing w:before="0" w:after="0" w:line="240" w:lineRule="auto"/>
      </w:pPr>
      <w:r>
        <w:separator/>
      </w:r>
    </w:p>
  </w:endnote>
  <w:endnote w:type="continuationSeparator" w:id="0">
    <w:p w14:paraId="1D744907" w14:textId="77777777" w:rsidR="001D62F3" w:rsidRDefault="001D62F3" w:rsidP="009912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F0B5E" w14:textId="729A5E40" w:rsidR="00BB73BE" w:rsidRDefault="00296853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8752" behindDoc="0" locked="0" layoutInCell="1" allowOverlap="1" wp14:anchorId="5065FB99" wp14:editId="32479600">
          <wp:simplePos x="0" y="0"/>
          <wp:positionH relativeFrom="margin">
            <wp:posOffset>0</wp:posOffset>
          </wp:positionH>
          <wp:positionV relativeFrom="paragraph">
            <wp:posOffset>79375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2AFF29" w14:textId="48EF4E03" w:rsidR="000D198B" w:rsidRDefault="000D19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6185C" w14:textId="77777777" w:rsidR="001D62F3" w:rsidRDefault="001D62F3" w:rsidP="00991221">
      <w:pPr>
        <w:spacing w:before="0" w:after="0" w:line="240" w:lineRule="auto"/>
      </w:pPr>
      <w:r>
        <w:separator/>
      </w:r>
    </w:p>
  </w:footnote>
  <w:footnote w:type="continuationSeparator" w:id="0">
    <w:p w14:paraId="03CAEF27" w14:textId="77777777" w:rsidR="001D62F3" w:rsidRDefault="001D62F3" w:rsidP="0099122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37B0D" w14:textId="1CD9A9AD" w:rsidR="006D2986" w:rsidRDefault="006D2986" w:rsidP="006D2986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68376F">
      <w:rPr>
        <w:sz w:val="16"/>
        <w:szCs w:val="16"/>
        <w:lang w:val="en-US"/>
      </w:rPr>
      <w:t>Interiors</w:t>
    </w:r>
    <w:r>
      <w:rPr>
        <w:sz w:val="16"/>
        <w:szCs w:val="16"/>
        <w:lang w:val="en-US"/>
      </w:rPr>
      <w:t xml:space="preserve"> </w:t>
    </w:r>
    <w:r w:rsidR="00BB73BE">
      <w:rPr>
        <w:sz w:val="16"/>
        <w:szCs w:val="16"/>
        <w:lang w:val="en-US"/>
      </w:rPr>
      <w:t xml:space="preserve">NZ </w:t>
    </w:r>
    <w:r>
      <w:rPr>
        <w:sz w:val="16"/>
        <w:szCs w:val="16"/>
        <w:lang w:val="en-US"/>
      </w:rPr>
      <w:t>v1</w:t>
    </w:r>
    <w:r w:rsidR="00B60A8C">
      <w:rPr>
        <w:sz w:val="16"/>
        <w:szCs w:val="16"/>
        <w:lang w:val="en-US"/>
      </w:rPr>
      <w:t>.</w:t>
    </w:r>
    <w:r w:rsidR="00296853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BB73BE">
      <w:rPr>
        <w:sz w:val="16"/>
        <w:szCs w:val="16"/>
        <w:lang w:val="en-US"/>
      </w:rPr>
      <w:t xml:space="preserve">NZ </w:t>
    </w:r>
    <w:r w:rsidR="00852F88">
      <w:rPr>
        <w:sz w:val="16"/>
        <w:szCs w:val="16"/>
        <w:lang w:val="en-US"/>
      </w:rPr>
      <w:t>v1.</w:t>
    </w:r>
    <w:r w:rsidR="00296853">
      <w:rPr>
        <w:sz w:val="16"/>
        <w:szCs w:val="16"/>
        <w:lang w:val="en-US"/>
      </w:rPr>
      <w:t>1</w:t>
    </w:r>
  </w:p>
  <w:p w14:paraId="57848500" w14:textId="77777777" w:rsidR="006D2986" w:rsidRDefault="006D29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C1F4AA6"/>
    <w:multiLevelType w:val="hybridMultilevel"/>
    <w:tmpl w:val="FAD208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numStyleLink w:val="Bullets"/>
  </w:abstractNum>
  <w:abstractNum w:abstractNumId="29" w15:restartNumberingAfterBreak="0">
    <w:nsid w:val="5A385343"/>
    <w:multiLevelType w:val="multilevel"/>
    <w:tmpl w:val="31026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beredheading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29A726D"/>
    <w:multiLevelType w:val="hybridMultilevel"/>
    <w:tmpl w:val="40FC6554"/>
    <w:lvl w:ilvl="0" w:tplc="CA98B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946D0"/>
    <w:multiLevelType w:val="multilevel"/>
    <w:tmpl w:val="00000001"/>
    <w:numStyleLink w:val="Bullets"/>
  </w:abstractNum>
  <w:abstractNum w:abstractNumId="33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FF7821"/>
    <w:multiLevelType w:val="hybridMultilevel"/>
    <w:tmpl w:val="31F4E23A"/>
    <w:lvl w:ilvl="0" w:tplc="C3C88CA6">
      <w:start w:val="1"/>
      <w:numFmt w:val="decimal"/>
      <w:pStyle w:val="Criterionsubheading"/>
      <w:lvlText w:val="2.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7627AE"/>
    <w:multiLevelType w:val="hybridMultilevel"/>
    <w:tmpl w:val="07C2F3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0999772">
    <w:abstractNumId w:val="10"/>
  </w:num>
  <w:num w:numId="2" w16cid:durableId="939720795">
    <w:abstractNumId w:val="11"/>
  </w:num>
  <w:num w:numId="3" w16cid:durableId="1400904049">
    <w:abstractNumId w:val="12"/>
  </w:num>
  <w:num w:numId="4" w16cid:durableId="356585829">
    <w:abstractNumId w:val="13"/>
  </w:num>
  <w:num w:numId="5" w16cid:durableId="443817228">
    <w:abstractNumId w:val="14"/>
  </w:num>
  <w:num w:numId="6" w16cid:durableId="755589223">
    <w:abstractNumId w:val="16"/>
  </w:num>
  <w:num w:numId="7" w16cid:durableId="544217446">
    <w:abstractNumId w:val="23"/>
  </w:num>
  <w:num w:numId="8" w16cid:durableId="1242254632">
    <w:abstractNumId w:val="22"/>
  </w:num>
  <w:num w:numId="9" w16cid:durableId="939533181">
    <w:abstractNumId w:val="32"/>
  </w:num>
  <w:num w:numId="10" w16cid:durableId="570116980">
    <w:abstractNumId w:val="28"/>
  </w:num>
  <w:num w:numId="11" w16cid:durableId="1489782992">
    <w:abstractNumId w:val="26"/>
  </w:num>
  <w:num w:numId="12" w16cid:durableId="259879158">
    <w:abstractNumId w:val="19"/>
  </w:num>
  <w:num w:numId="13" w16cid:durableId="970599302">
    <w:abstractNumId w:val="17"/>
  </w:num>
  <w:num w:numId="14" w16cid:durableId="249126300">
    <w:abstractNumId w:val="18"/>
  </w:num>
  <w:num w:numId="15" w16cid:durableId="964846860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208369616">
    <w:abstractNumId w:val="9"/>
  </w:num>
  <w:num w:numId="17" w16cid:durableId="1993680659">
    <w:abstractNumId w:val="7"/>
  </w:num>
  <w:num w:numId="18" w16cid:durableId="1961492701">
    <w:abstractNumId w:val="6"/>
  </w:num>
  <w:num w:numId="19" w16cid:durableId="834493011">
    <w:abstractNumId w:val="5"/>
  </w:num>
  <w:num w:numId="20" w16cid:durableId="892157061">
    <w:abstractNumId w:val="4"/>
  </w:num>
  <w:num w:numId="21" w16cid:durableId="1621573057">
    <w:abstractNumId w:val="8"/>
  </w:num>
  <w:num w:numId="22" w16cid:durableId="247538544">
    <w:abstractNumId w:val="3"/>
  </w:num>
  <w:num w:numId="23" w16cid:durableId="1116486059">
    <w:abstractNumId w:val="2"/>
  </w:num>
  <w:num w:numId="24" w16cid:durableId="458494315">
    <w:abstractNumId w:val="1"/>
  </w:num>
  <w:num w:numId="25" w16cid:durableId="2003583780">
    <w:abstractNumId w:val="0"/>
  </w:num>
  <w:num w:numId="26" w16cid:durableId="1627925449">
    <w:abstractNumId w:val="34"/>
  </w:num>
  <w:num w:numId="27" w16cid:durableId="1781029755">
    <w:abstractNumId w:val="25"/>
  </w:num>
  <w:num w:numId="28" w16cid:durableId="1542983432">
    <w:abstractNumId w:val="20"/>
  </w:num>
  <w:num w:numId="29" w16cid:durableId="1679040121">
    <w:abstractNumId w:val="27"/>
  </w:num>
  <w:num w:numId="30" w16cid:durableId="37707728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014605810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112283457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418405895">
    <w:abstractNumId w:val="33"/>
  </w:num>
  <w:num w:numId="34" w16cid:durableId="98381144">
    <w:abstractNumId w:val="35"/>
  </w:num>
  <w:num w:numId="35" w16cid:durableId="2087652700">
    <w:abstractNumId w:val="29"/>
  </w:num>
  <w:num w:numId="36" w16cid:durableId="1069964268">
    <w:abstractNumId w:val="31"/>
  </w:num>
  <w:num w:numId="37" w16cid:durableId="1987590267">
    <w:abstractNumId w:val="31"/>
    <w:lvlOverride w:ilvl="0">
      <w:startOverride w:val="1"/>
    </w:lvlOverride>
  </w:num>
  <w:num w:numId="38" w16cid:durableId="1680308387">
    <w:abstractNumId w:val="31"/>
    <w:lvlOverride w:ilvl="0">
      <w:startOverride w:val="1"/>
    </w:lvlOverride>
  </w:num>
  <w:num w:numId="39" w16cid:durableId="1819493429">
    <w:abstractNumId w:val="24"/>
  </w:num>
  <w:num w:numId="40" w16cid:durableId="91781585">
    <w:abstractNumId w:val="15"/>
  </w:num>
  <w:num w:numId="41" w16cid:durableId="1274560387">
    <w:abstractNumId w:val="36"/>
  </w:num>
  <w:num w:numId="42" w16cid:durableId="1054357125">
    <w:abstractNumId w:val="30"/>
  </w:num>
  <w:num w:numId="43" w16cid:durableId="12665709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lOSFyyTQIWz7bO30w71g/MzHEhHGZzV+k/+/f2x1ho0I53JhJRaWTXiak7Itr+2Y9mk4CpDnB7t/LU6MMoO7BA==" w:salt="k74lIg/ni/YJFVMGa4vVfQ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OyNDAxNbMwM7awsDBX0lEKTi0uzszPAykwrAUAF02+FywAAAA="/>
  </w:docVars>
  <w:rsids>
    <w:rsidRoot w:val="00991221"/>
    <w:rsid w:val="00002612"/>
    <w:rsid w:val="00015B85"/>
    <w:rsid w:val="00017B56"/>
    <w:rsid w:val="00024176"/>
    <w:rsid w:val="0002622D"/>
    <w:rsid w:val="00041305"/>
    <w:rsid w:val="000414A1"/>
    <w:rsid w:val="00083268"/>
    <w:rsid w:val="000C3552"/>
    <w:rsid w:val="000D198B"/>
    <w:rsid w:val="000D56D7"/>
    <w:rsid w:val="001420DE"/>
    <w:rsid w:val="0014213F"/>
    <w:rsid w:val="00145EF1"/>
    <w:rsid w:val="0015187F"/>
    <w:rsid w:val="00155FD6"/>
    <w:rsid w:val="00166528"/>
    <w:rsid w:val="001732F1"/>
    <w:rsid w:val="001A6E9F"/>
    <w:rsid w:val="001A76C9"/>
    <w:rsid w:val="001B4C6B"/>
    <w:rsid w:val="001C087A"/>
    <w:rsid w:val="001C55B2"/>
    <w:rsid w:val="001D62F3"/>
    <w:rsid w:val="0023256B"/>
    <w:rsid w:val="002434C9"/>
    <w:rsid w:val="00253282"/>
    <w:rsid w:val="0026389D"/>
    <w:rsid w:val="00291D61"/>
    <w:rsid w:val="002934F9"/>
    <w:rsid w:val="00296853"/>
    <w:rsid w:val="002B59B2"/>
    <w:rsid w:val="002F62FD"/>
    <w:rsid w:val="00305ED5"/>
    <w:rsid w:val="00313F06"/>
    <w:rsid w:val="00343B85"/>
    <w:rsid w:val="00372483"/>
    <w:rsid w:val="00385775"/>
    <w:rsid w:val="00386BF8"/>
    <w:rsid w:val="00395574"/>
    <w:rsid w:val="003B71E6"/>
    <w:rsid w:val="003F401A"/>
    <w:rsid w:val="00415DAA"/>
    <w:rsid w:val="00421258"/>
    <w:rsid w:val="00441FDE"/>
    <w:rsid w:val="00475941"/>
    <w:rsid w:val="004828A7"/>
    <w:rsid w:val="004B28CC"/>
    <w:rsid w:val="004B3EC6"/>
    <w:rsid w:val="004F2472"/>
    <w:rsid w:val="004F611C"/>
    <w:rsid w:val="005205F4"/>
    <w:rsid w:val="00543FCE"/>
    <w:rsid w:val="00551D41"/>
    <w:rsid w:val="00577D2A"/>
    <w:rsid w:val="005959BE"/>
    <w:rsid w:val="005B4E2D"/>
    <w:rsid w:val="005C2F1A"/>
    <w:rsid w:val="005C34D2"/>
    <w:rsid w:val="005C692B"/>
    <w:rsid w:val="005D2E49"/>
    <w:rsid w:val="005E267B"/>
    <w:rsid w:val="006004F1"/>
    <w:rsid w:val="00605F9A"/>
    <w:rsid w:val="0068376F"/>
    <w:rsid w:val="00696088"/>
    <w:rsid w:val="00697CED"/>
    <w:rsid w:val="006B3D65"/>
    <w:rsid w:val="006B6118"/>
    <w:rsid w:val="006C09EF"/>
    <w:rsid w:val="006D2986"/>
    <w:rsid w:val="006D3C47"/>
    <w:rsid w:val="00701950"/>
    <w:rsid w:val="00703A5B"/>
    <w:rsid w:val="00705F4D"/>
    <w:rsid w:val="00722F22"/>
    <w:rsid w:val="00733E7D"/>
    <w:rsid w:val="0075170B"/>
    <w:rsid w:val="007537EB"/>
    <w:rsid w:val="00763EED"/>
    <w:rsid w:val="007772D5"/>
    <w:rsid w:val="007B46D4"/>
    <w:rsid w:val="007D55C6"/>
    <w:rsid w:val="00830329"/>
    <w:rsid w:val="00833D8E"/>
    <w:rsid w:val="00841903"/>
    <w:rsid w:val="00852F88"/>
    <w:rsid w:val="0086343F"/>
    <w:rsid w:val="008D2570"/>
    <w:rsid w:val="008E2EB8"/>
    <w:rsid w:val="009173CC"/>
    <w:rsid w:val="00931C35"/>
    <w:rsid w:val="00935B2E"/>
    <w:rsid w:val="00941D1F"/>
    <w:rsid w:val="00950859"/>
    <w:rsid w:val="00955DBE"/>
    <w:rsid w:val="0097480C"/>
    <w:rsid w:val="00991221"/>
    <w:rsid w:val="00994D83"/>
    <w:rsid w:val="009A13BF"/>
    <w:rsid w:val="009C5461"/>
    <w:rsid w:val="009D4708"/>
    <w:rsid w:val="009E45D5"/>
    <w:rsid w:val="009F63A6"/>
    <w:rsid w:val="00A14DE0"/>
    <w:rsid w:val="00A207CE"/>
    <w:rsid w:val="00A3143F"/>
    <w:rsid w:val="00A45B94"/>
    <w:rsid w:val="00A74EEB"/>
    <w:rsid w:val="00A77B3E"/>
    <w:rsid w:val="00AA2E9F"/>
    <w:rsid w:val="00AB4A0F"/>
    <w:rsid w:val="00AD7849"/>
    <w:rsid w:val="00AE36BE"/>
    <w:rsid w:val="00AF437B"/>
    <w:rsid w:val="00B04026"/>
    <w:rsid w:val="00B11CFD"/>
    <w:rsid w:val="00B16241"/>
    <w:rsid w:val="00B416E7"/>
    <w:rsid w:val="00B43004"/>
    <w:rsid w:val="00B45DCB"/>
    <w:rsid w:val="00B60A8C"/>
    <w:rsid w:val="00BB73BE"/>
    <w:rsid w:val="00BC198B"/>
    <w:rsid w:val="00BC1D56"/>
    <w:rsid w:val="00BE4AF0"/>
    <w:rsid w:val="00BF39A6"/>
    <w:rsid w:val="00C10192"/>
    <w:rsid w:val="00C1091F"/>
    <w:rsid w:val="00C172F4"/>
    <w:rsid w:val="00CA175C"/>
    <w:rsid w:val="00CE6303"/>
    <w:rsid w:val="00D144BE"/>
    <w:rsid w:val="00D15333"/>
    <w:rsid w:val="00D176F2"/>
    <w:rsid w:val="00D20DA9"/>
    <w:rsid w:val="00D34A57"/>
    <w:rsid w:val="00D55E65"/>
    <w:rsid w:val="00D70E27"/>
    <w:rsid w:val="00D80EAC"/>
    <w:rsid w:val="00DA27D3"/>
    <w:rsid w:val="00DF0E45"/>
    <w:rsid w:val="00E15F6B"/>
    <w:rsid w:val="00E52F47"/>
    <w:rsid w:val="00E63EF6"/>
    <w:rsid w:val="00EC4E1C"/>
    <w:rsid w:val="00EE0752"/>
    <w:rsid w:val="00F43E46"/>
    <w:rsid w:val="00F54FF2"/>
    <w:rsid w:val="00F564E2"/>
    <w:rsid w:val="00F75951"/>
    <w:rsid w:val="00F93D08"/>
    <w:rsid w:val="00FB117C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671484"/>
  <w15:docId w15:val="{81FCCB78-F67F-42F0-8070-DD0432846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F54FF2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15187F"/>
    <w:pPr>
      <w:keepNext/>
      <w:pBdr>
        <w:bottom w:val="single" w:sz="4" w:space="1" w:color="244061" w:themeColor="accent1" w:themeShade="80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68376F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2F62FD"/>
    <w:pPr>
      <w:keepNext/>
      <w:tabs>
        <w:tab w:val="left" w:pos="142"/>
      </w:tabs>
      <w:spacing w:before="240" w:line="240" w:lineRule="auto"/>
      <w:ind w:left="720"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68376F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68376F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68376F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68376F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68376F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68376F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2B59B2"/>
    <w:tblPr>
      <w:tblBorders>
        <w:top w:val="single" w:sz="4" w:space="0" w:color="FFC20E" w:themeColor="text1"/>
        <w:bottom w:val="single" w:sz="4" w:space="0" w:color="FFC20E" w:themeColor="text1"/>
        <w:insideH w:val="single" w:sz="4" w:space="0" w:color="FFC20E" w:themeColor="text1"/>
      </w:tblBorders>
    </w:tblPr>
  </w:style>
  <w:style w:type="table" w:styleId="MediumList1-Accent4">
    <w:name w:val="Medium List 1 Accent 4"/>
    <w:basedOn w:val="TableNormal"/>
    <w:uiPriority w:val="65"/>
    <w:locked/>
    <w:rsid w:val="0068376F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68376F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68376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68376F"/>
    <w:pPr>
      <w:numPr>
        <w:numId w:val="40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68376F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6837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68376F"/>
    <w:rPr>
      <w:i/>
    </w:rPr>
  </w:style>
  <w:style w:type="paragraph" w:styleId="List">
    <w:name w:val="List"/>
    <w:basedOn w:val="Normal"/>
    <w:rsid w:val="0068376F"/>
    <w:pPr>
      <w:numPr>
        <w:numId w:val="26"/>
      </w:numPr>
    </w:pPr>
  </w:style>
  <w:style w:type="character" w:customStyle="1" w:styleId="StyleBold">
    <w:name w:val="Style Bold"/>
    <w:basedOn w:val="DefaultParagraphFont"/>
    <w:rsid w:val="0068376F"/>
    <w:rPr>
      <w:b/>
      <w:bCs/>
    </w:rPr>
  </w:style>
  <w:style w:type="table" w:styleId="Table3Deffects1">
    <w:name w:val="Table 3D effects 1"/>
    <w:basedOn w:val="TableNormal"/>
    <w:locked/>
    <w:rsid w:val="0068376F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68376F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68376F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991221"/>
    <w:pPr>
      <w:numPr>
        <w:numId w:val="34"/>
      </w:numPr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4828A7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991221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2F62FD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locked/>
    <w:rsid w:val="0099122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91221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9122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91221"/>
    <w:rPr>
      <w:rFonts w:ascii="Arial" w:eastAsia="Arial" w:hAnsi="Arial" w:cs="Arial"/>
      <w:color w:val="000000"/>
      <w:szCs w:val="22"/>
      <w:lang w:val="en-AU"/>
    </w:rPr>
  </w:style>
  <w:style w:type="table" w:customStyle="1" w:styleId="GBCATable1">
    <w:name w:val="GBCA Table1"/>
    <w:basedOn w:val="TableNormal"/>
    <w:next w:val="TableGrid"/>
    <w:rsid w:val="00991221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autoRedefine/>
    <w:qFormat/>
    <w:rsid w:val="00705F4D"/>
    <w:pPr>
      <w:keepLines/>
      <w:numPr>
        <w:ilvl w:val="1"/>
        <w:numId w:val="35"/>
      </w:numPr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paragraph" w:customStyle="1" w:styleId="Criterion">
    <w:name w:val="Criterion"/>
    <w:basedOn w:val="Heading3"/>
    <w:link w:val="CriterionChar"/>
    <w:autoRedefine/>
    <w:qFormat/>
    <w:rsid w:val="0068376F"/>
  </w:style>
  <w:style w:type="character" w:customStyle="1" w:styleId="CriterionChar">
    <w:name w:val="Criterion Char"/>
    <w:basedOn w:val="Heading3Char"/>
    <w:link w:val="Criterion"/>
    <w:rsid w:val="0068376F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2325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23256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256B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2325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3256B"/>
    <w:rPr>
      <w:rFonts w:ascii="Arial" w:eastAsia="Arial" w:hAnsi="Arial" w:cs="Arial"/>
      <w:b/>
      <w:bCs/>
      <w:color w:val="000000"/>
      <w:lang w:val="en-AU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F564E2"/>
    <w:rPr>
      <w:rFonts w:ascii="Arial" w:eastAsia="Arial" w:hAnsi="Arial" w:cs="Arial"/>
      <w:color w:val="000000"/>
      <w:szCs w:val="22"/>
      <w:lang w:val="en-AU"/>
    </w:rPr>
  </w:style>
  <w:style w:type="paragraph" w:styleId="Revision">
    <w:name w:val="Revision"/>
    <w:hidden/>
    <w:uiPriority w:val="99"/>
    <w:semiHidden/>
    <w:rsid w:val="00296853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D4AAC975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652589-189D-4A01-AAD6-95BB2ECDAEAA}"/>
</file>

<file path=customXml/itemProps2.xml><?xml version="1.0" encoding="utf-8"?>
<ds:datastoreItem xmlns:ds="http://schemas.openxmlformats.org/officeDocument/2006/customXml" ds:itemID="{006718B9-EA51-4499-907A-55D31E3B4F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F00CD3-6D03-4246-ABE5-63C61E80E257}">
  <ds:schemaRefs>
    <ds:schemaRef ds:uri="52985c86-f8c2-4ffb-9ed4-056f10e7bf99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5091d4f-8901-46df-85f4-029614b39d2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8C218D9-E1E1-4DA3-85F1-6DF395429E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D4AAC975</Template>
  <TotalTime>28</TotalTime>
  <Pages>8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16</cp:revision>
  <cp:lastPrinted>1900-12-31T14:00:00Z</cp:lastPrinted>
  <dcterms:created xsi:type="dcterms:W3CDTF">2017-05-08T06:38:00Z</dcterms:created>
  <dcterms:modified xsi:type="dcterms:W3CDTF">2022-10-10T21:47:00Z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